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30D1DC">
      <w:pPr>
        <w:keepNext/>
        <w:keepLines/>
        <w:pageBreakBefore w:val="0"/>
        <w:widowControl w:val="0"/>
        <w:shd w:val="clear"/>
        <w:kinsoku/>
        <w:wordWrap/>
        <w:overflowPunct/>
        <w:topLinePunct w:val="0"/>
        <w:autoSpaceDE/>
        <w:autoSpaceDN/>
        <w:bidi w:val="0"/>
        <w:adjustRightInd/>
        <w:snapToGrid/>
        <w:textAlignment w:val="auto"/>
        <w:outlineLvl w:val="9"/>
        <w:rPr>
          <w:rFonts w:hint="eastAsia"/>
          <w:sz w:val="44"/>
          <w:szCs w:val="44"/>
          <w:highlight w:val="none"/>
        </w:rPr>
      </w:pPr>
    </w:p>
    <w:p w14:paraId="56D4CB76">
      <w:pPr>
        <w:pStyle w:val="8"/>
        <w:shd w:val="clear"/>
        <w:rPr>
          <w:rFonts w:hint="eastAsia"/>
          <w:sz w:val="44"/>
          <w:szCs w:val="44"/>
          <w:highlight w:val="none"/>
        </w:rPr>
      </w:pPr>
    </w:p>
    <w:p w14:paraId="1742A612">
      <w:pPr>
        <w:pStyle w:val="8"/>
        <w:shd w:val="clear"/>
        <w:rPr>
          <w:rFonts w:hint="eastAsia"/>
          <w:sz w:val="44"/>
          <w:szCs w:val="44"/>
          <w:highlight w:val="none"/>
        </w:rPr>
      </w:pPr>
    </w:p>
    <w:p w14:paraId="02FB0B0F">
      <w:pPr>
        <w:pStyle w:val="8"/>
        <w:shd w:val="clear"/>
        <w:rPr>
          <w:rFonts w:hint="eastAsia"/>
          <w:sz w:val="44"/>
          <w:szCs w:val="44"/>
          <w:highlight w:val="none"/>
        </w:rPr>
      </w:pPr>
    </w:p>
    <w:p w14:paraId="21738FBC">
      <w:pPr>
        <w:pStyle w:val="8"/>
        <w:shd w:val="clear"/>
        <w:rPr>
          <w:rFonts w:hint="eastAsia"/>
          <w:sz w:val="44"/>
          <w:szCs w:val="44"/>
          <w:highlight w:val="none"/>
        </w:rPr>
      </w:pPr>
    </w:p>
    <w:p w14:paraId="1D5E0D18">
      <w:pPr>
        <w:pStyle w:val="8"/>
        <w:shd w:val="clear"/>
        <w:rPr>
          <w:rFonts w:hint="eastAsia"/>
          <w:sz w:val="44"/>
          <w:szCs w:val="44"/>
          <w:highlight w:val="none"/>
        </w:rPr>
      </w:pPr>
    </w:p>
    <w:p w14:paraId="7AAD3A15">
      <w:pPr>
        <w:shd w:val="clear"/>
        <w:bidi w:val="0"/>
        <w:jc w:val="center"/>
        <w:outlineLvl w:val="9"/>
        <w:rPr>
          <w:rFonts w:hint="eastAsia" w:ascii="宋体" w:hAnsi="宋体" w:eastAsia="宋体" w:cs="宋体"/>
          <w:sz w:val="44"/>
          <w:szCs w:val="44"/>
          <w:highlight w:val="none"/>
        </w:rPr>
      </w:pPr>
      <w:bookmarkStart w:id="0" w:name="_Toc930"/>
      <w:bookmarkStart w:id="1" w:name="_Toc32437"/>
      <w:bookmarkStart w:id="2" w:name="_Toc6291"/>
      <w:bookmarkStart w:id="3" w:name="_Toc10698"/>
      <w:r>
        <w:rPr>
          <w:rFonts w:hint="eastAsia" w:ascii="宋体" w:hAnsi="宋体" w:eastAsia="宋体" w:cs="宋体"/>
          <w:sz w:val="44"/>
          <w:szCs w:val="44"/>
          <w:highlight w:val="none"/>
          <w:lang w:eastAsia="zh-CN"/>
        </w:rPr>
        <w:t>保定市污染物排放智能管控可视化系统项目</w:t>
      </w:r>
      <w:r>
        <w:rPr>
          <w:rFonts w:hint="eastAsia" w:ascii="宋体" w:hAnsi="宋体" w:eastAsia="宋体" w:cs="宋体"/>
          <w:sz w:val="44"/>
          <w:szCs w:val="44"/>
          <w:highlight w:val="none"/>
        </w:rPr>
        <w:t>实施方案</w:t>
      </w:r>
      <w:bookmarkEnd w:id="0"/>
      <w:bookmarkEnd w:id="1"/>
      <w:bookmarkEnd w:id="2"/>
      <w:bookmarkEnd w:id="3"/>
    </w:p>
    <w:p w14:paraId="358179EA">
      <w:pPr>
        <w:shd w:val="clear"/>
        <w:rPr>
          <w:rFonts w:hint="eastAsia" w:ascii="宋体" w:hAnsi="宋体" w:eastAsia="宋体" w:cs="宋体"/>
          <w:sz w:val="44"/>
          <w:szCs w:val="44"/>
          <w:highlight w:val="none"/>
        </w:rPr>
      </w:pPr>
    </w:p>
    <w:p w14:paraId="7412BB37">
      <w:pPr>
        <w:pStyle w:val="8"/>
        <w:shd w:val="clear"/>
        <w:rPr>
          <w:rFonts w:hint="eastAsia" w:ascii="宋体" w:hAnsi="宋体" w:eastAsia="宋体" w:cs="宋体"/>
          <w:sz w:val="44"/>
          <w:szCs w:val="44"/>
          <w:highlight w:val="none"/>
        </w:rPr>
      </w:pPr>
    </w:p>
    <w:p w14:paraId="0CA24563">
      <w:pPr>
        <w:pStyle w:val="8"/>
        <w:shd w:val="clear"/>
        <w:rPr>
          <w:rFonts w:hint="eastAsia" w:ascii="宋体" w:hAnsi="宋体" w:eastAsia="宋体" w:cs="宋体"/>
          <w:sz w:val="44"/>
          <w:szCs w:val="44"/>
          <w:highlight w:val="none"/>
        </w:rPr>
      </w:pPr>
    </w:p>
    <w:p w14:paraId="39D6BA49">
      <w:pPr>
        <w:pStyle w:val="8"/>
        <w:shd w:val="clear"/>
        <w:rPr>
          <w:rFonts w:hint="eastAsia" w:ascii="宋体" w:hAnsi="宋体" w:eastAsia="宋体" w:cs="宋体"/>
          <w:sz w:val="44"/>
          <w:szCs w:val="44"/>
          <w:highlight w:val="none"/>
        </w:rPr>
      </w:pPr>
    </w:p>
    <w:p w14:paraId="762FE7BA">
      <w:pPr>
        <w:pStyle w:val="8"/>
        <w:shd w:val="clear"/>
        <w:rPr>
          <w:rFonts w:hint="eastAsia" w:ascii="宋体" w:hAnsi="宋体" w:eastAsia="宋体" w:cs="宋体"/>
          <w:sz w:val="44"/>
          <w:szCs w:val="44"/>
          <w:highlight w:val="none"/>
        </w:rPr>
      </w:pPr>
    </w:p>
    <w:p w14:paraId="0B8344B1">
      <w:pPr>
        <w:pStyle w:val="8"/>
        <w:shd w:val="clear"/>
        <w:rPr>
          <w:rFonts w:hint="eastAsia" w:ascii="宋体" w:hAnsi="宋体" w:eastAsia="宋体" w:cs="宋体"/>
          <w:sz w:val="44"/>
          <w:szCs w:val="44"/>
          <w:highlight w:val="none"/>
        </w:rPr>
      </w:pPr>
    </w:p>
    <w:p w14:paraId="1A0A95B6">
      <w:pPr>
        <w:pStyle w:val="8"/>
        <w:shd w:val="clear"/>
        <w:rPr>
          <w:rFonts w:hint="eastAsia" w:ascii="宋体" w:hAnsi="宋体" w:eastAsia="宋体" w:cs="宋体"/>
          <w:sz w:val="44"/>
          <w:szCs w:val="44"/>
          <w:highlight w:val="none"/>
        </w:rPr>
      </w:pPr>
    </w:p>
    <w:p w14:paraId="464327E6">
      <w:pPr>
        <w:pStyle w:val="8"/>
        <w:shd w:val="clear"/>
        <w:rPr>
          <w:rFonts w:hint="eastAsia" w:ascii="宋体" w:hAnsi="宋体" w:eastAsia="宋体" w:cs="宋体"/>
          <w:sz w:val="44"/>
          <w:szCs w:val="44"/>
          <w:highlight w:val="none"/>
        </w:rPr>
      </w:pPr>
    </w:p>
    <w:p w14:paraId="45F5337D">
      <w:pPr>
        <w:pStyle w:val="8"/>
        <w:shd w:val="clear"/>
        <w:jc w:val="center"/>
        <w:rPr>
          <w:rFonts w:hint="default" w:ascii="宋体" w:hAnsi="宋体" w:eastAsia="宋体" w:cs="宋体"/>
          <w:sz w:val="44"/>
          <w:szCs w:val="44"/>
          <w:highlight w:val="none"/>
          <w:lang w:val="en-US" w:eastAsia="zh-CN"/>
        </w:rPr>
      </w:pPr>
      <w:r>
        <w:rPr>
          <w:rFonts w:hint="eastAsia" w:ascii="宋体" w:hAnsi="宋体" w:eastAsia="宋体" w:cs="宋体"/>
          <w:sz w:val="44"/>
          <w:szCs w:val="44"/>
          <w:highlight w:val="none"/>
          <w:lang w:val="en-US" w:eastAsia="zh-CN"/>
        </w:rPr>
        <w:t>2024年7月</w:t>
      </w:r>
    </w:p>
    <w:p w14:paraId="49634E8E">
      <w:pPr>
        <w:shd w:val="clear"/>
        <w:rPr>
          <w:rFonts w:hint="eastAsia" w:ascii="黑体" w:hAnsi="黑体" w:eastAsia="黑体" w:cs="黑体"/>
          <w:b w:val="0"/>
          <w:bCs w:val="0"/>
          <w:sz w:val="32"/>
          <w:szCs w:val="22"/>
          <w:highlight w:val="none"/>
          <w:lang w:val="en-US" w:eastAsia="zh-CN"/>
        </w:rPr>
      </w:pPr>
      <w:r>
        <w:rPr>
          <w:rFonts w:hint="eastAsia" w:ascii="黑体" w:hAnsi="黑体" w:eastAsia="黑体" w:cs="黑体"/>
          <w:b w:val="0"/>
          <w:bCs w:val="0"/>
          <w:sz w:val="32"/>
          <w:szCs w:val="22"/>
          <w:highlight w:val="none"/>
          <w:lang w:val="en-US" w:eastAsia="zh-CN"/>
        </w:rPr>
        <w:br w:type="page"/>
      </w:r>
    </w:p>
    <w:sdt>
      <w:sdtPr>
        <w:rPr>
          <w:rFonts w:ascii="宋体" w:hAnsi="宋体" w:eastAsia="宋体" w:cs="Times New Roman"/>
          <w:kern w:val="2"/>
          <w:sz w:val="48"/>
          <w:szCs w:val="48"/>
          <w:highlight w:val="none"/>
          <w:lang w:val="en-US" w:eastAsia="zh-CN" w:bidi="ar-SA"/>
        </w:rPr>
        <w:id w:val="147471346"/>
        <w15:color w:val="DBDBDB"/>
        <w:docPartObj>
          <w:docPartGallery w:val="Table of Contents"/>
          <w:docPartUnique/>
        </w:docPartObj>
      </w:sdtPr>
      <w:sdtEndPr>
        <w:rPr>
          <w:rFonts w:hint="eastAsia" w:ascii="黑体" w:hAnsi="黑体" w:eastAsia="黑体" w:cs="黑体"/>
          <w:b/>
          <w:bCs w:val="0"/>
          <w:kern w:val="2"/>
          <w:sz w:val="28"/>
          <w:szCs w:val="28"/>
          <w:highlight w:val="none"/>
          <w:lang w:val="en-US" w:eastAsia="zh-CN" w:bidi="ar-SA"/>
        </w:rPr>
      </w:sdtEndPr>
      <w:sdtContent>
        <w:p w14:paraId="52B2CF17">
          <w:pPr>
            <w:shd w:val="clear"/>
            <w:spacing w:before="0" w:beforeLines="0" w:after="0" w:afterLines="0" w:line="240" w:lineRule="auto"/>
            <w:ind w:left="0" w:leftChars="0" w:right="0" w:rightChars="0" w:firstLine="0" w:firstLineChars="0"/>
            <w:jc w:val="center"/>
            <w:rPr>
              <w:b/>
              <w:bCs/>
              <w:sz w:val="48"/>
              <w:szCs w:val="48"/>
              <w:highlight w:val="none"/>
            </w:rPr>
          </w:pPr>
          <w:r>
            <w:rPr>
              <w:rFonts w:ascii="宋体" w:hAnsi="宋体" w:eastAsia="宋体"/>
              <w:b/>
              <w:bCs/>
              <w:sz w:val="48"/>
              <w:szCs w:val="48"/>
              <w:highlight w:val="none"/>
            </w:rPr>
            <w:t>目录</w:t>
          </w:r>
        </w:p>
        <w:p w14:paraId="00B1538C">
          <w:pPr>
            <w:pStyle w:val="15"/>
            <w:tabs>
              <w:tab w:val="right" w:leader="dot" w:pos="8414"/>
            </w:tabs>
          </w:pPr>
          <w:r>
            <w:rPr>
              <w:rFonts w:hint="eastAsia" w:ascii="黑体" w:hAnsi="黑体" w:eastAsia="黑体" w:cs="黑体"/>
              <w:b w:val="0"/>
              <w:bCs w:val="0"/>
              <w:sz w:val="32"/>
              <w:szCs w:val="32"/>
              <w:highlight w:val="none"/>
              <w:lang w:val="en-US" w:eastAsia="zh-CN"/>
            </w:rPr>
            <w:fldChar w:fldCharType="begin"/>
          </w:r>
          <w:r>
            <w:rPr>
              <w:rFonts w:hint="eastAsia" w:ascii="黑体" w:hAnsi="黑体" w:eastAsia="黑体" w:cs="黑体"/>
              <w:b w:val="0"/>
              <w:bCs w:val="0"/>
              <w:sz w:val="32"/>
              <w:szCs w:val="32"/>
              <w:highlight w:val="none"/>
              <w:lang w:val="en-US" w:eastAsia="zh-CN"/>
            </w:rPr>
            <w:instrText xml:space="preserve">TOC \o "1-2" \h \u </w:instrText>
          </w:r>
          <w:r>
            <w:rPr>
              <w:rFonts w:hint="eastAsia" w:ascii="黑体" w:hAnsi="黑体" w:eastAsia="黑体" w:cs="黑体"/>
              <w:b w:val="0"/>
              <w:bCs w:val="0"/>
              <w:sz w:val="32"/>
              <w:szCs w:val="32"/>
              <w:highlight w:val="none"/>
              <w:lang w:val="en-US" w:eastAsia="zh-CN"/>
            </w:rPr>
            <w:fldChar w:fldCharType="separate"/>
          </w:r>
          <w:r>
            <w:rPr>
              <w:rFonts w:hint="eastAsia" w:ascii="黑体" w:hAnsi="黑体" w:eastAsia="黑体" w:cs="黑体"/>
              <w:bCs w:val="0"/>
              <w:szCs w:val="32"/>
              <w:highlight w:val="none"/>
              <w:lang w:val="en-US" w:eastAsia="zh-CN"/>
            </w:rPr>
            <w:fldChar w:fldCharType="begin"/>
          </w:r>
          <w:r>
            <w:rPr>
              <w:rFonts w:hint="eastAsia" w:ascii="黑体" w:hAnsi="黑体" w:eastAsia="黑体" w:cs="黑体"/>
              <w:bCs w:val="0"/>
              <w:szCs w:val="32"/>
              <w:highlight w:val="none"/>
              <w:lang w:val="en-US" w:eastAsia="zh-CN"/>
            </w:rPr>
            <w:instrText xml:space="preserve"> HYPERLINK \l _Toc10310 </w:instrText>
          </w:r>
          <w:r>
            <w:rPr>
              <w:rFonts w:hint="eastAsia" w:ascii="黑体" w:hAnsi="黑体" w:eastAsia="黑体" w:cs="黑体"/>
              <w:bCs w:val="0"/>
              <w:szCs w:val="32"/>
              <w:highlight w:val="none"/>
              <w:lang w:val="en-US" w:eastAsia="zh-CN"/>
            </w:rPr>
            <w:fldChar w:fldCharType="separate"/>
          </w:r>
          <w:r>
            <w:rPr>
              <w:rFonts w:hint="eastAsia" w:ascii="黑体" w:hAnsi="黑体" w:eastAsia="黑体" w:cs="黑体"/>
              <w:bCs w:val="0"/>
              <w:szCs w:val="22"/>
              <w:highlight w:val="none"/>
              <w:lang w:val="en-US" w:eastAsia="zh-CN"/>
            </w:rPr>
            <w:t>一、项目背景</w:t>
          </w:r>
          <w:r>
            <w:tab/>
          </w:r>
          <w:r>
            <w:fldChar w:fldCharType="begin"/>
          </w:r>
          <w:r>
            <w:instrText xml:space="preserve"> PAGEREF _Toc10310 \h </w:instrText>
          </w:r>
          <w:r>
            <w:fldChar w:fldCharType="separate"/>
          </w:r>
          <w:r>
            <w:t>1</w:t>
          </w:r>
          <w:r>
            <w:fldChar w:fldCharType="end"/>
          </w:r>
          <w:r>
            <w:rPr>
              <w:rFonts w:hint="eastAsia" w:ascii="黑体" w:hAnsi="黑体" w:eastAsia="黑体" w:cs="黑体"/>
              <w:bCs w:val="0"/>
              <w:szCs w:val="32"/>
              <w:highlight w:val="none"/>
              <w:lang w:val="en-US" w:eastAsia="zh-CN"/>
            </w:rPr>
            <w:fldChar w:fldCharType="end"/>
          </w:r>
        </w:p>
        <w:p w14:paraId="7737BE97">
          <w:pPr>
            <w:pStyle w:val="15"/>
            <w:tabs>
              <w:tab w:val="right" w:leader="dot" w:pos="8414"/>
            </w:tabs>
          </w:pPr>
          <w:r>
            <w:rPr>
              <w:rFonts w:hint="eastAsia" w:ascii="黑体" w:hAnsi="黑体" w:eastAsia="黑体" w:cs="黑体"/>
              <w:bCs w:val="0"/>
              <w:szCs w:val="32"/>
              <w:highlight w:val="none"/>
              <w:lang w:val="en-US" w:eastAsia="zh-CN"/>
            </w:rPr>
            <w:fldChar w:fldCharType="begin"/>
          </w:r>
          <w:r>
            <w:rPr>
              <w:rFonts w:hint="eastAsia" w:ascii="黑体" w:hAnsi="黑体" w:eastAsia="黑体" w:cs="黑体"/>
              <w:bCs w:val="0"/>
              <w:szCs w:val="32"/>
              <w:highlight w:val="none"/>
              <w:lang w:val="en-US" w:eastAsia="zh-CN"/>
            </w:rPr>
            <w:instrText xml:space="preserve"> HYPERLINK \l _Toc3683 </w:instrText>
          </w:r>
          <w:r>
            <w:rPr>
              <w:rFonts w:hint="eastAsia" w:ascii="黑体" w:hAnsi="黑体" w:eastAsia="黑体" w:cs="黑体"/>
              <w:bCs w:val="0"/>
              <w:szCs w:val="32"/>
              <w:highlight w:val="none"/>
              <w:lang w:val="en-US" w:eastAsia="zh-CN"/>
            </w:rPr>
            <w:fldChar w:fldCharType="separate"/>
          </w:r>
          <w:r>
            <w:rPr>
              <w:rFonts w:hint="eastAsia" w:ascii="黑体" w:hAnsi="黑体" w:eastAsia="黑体" w:cs="黑体"/>
              <w:bCs w:val="0"/>
              <w:szCs w:val="22"/>
              <w:highlight w:val="none"/>
              <w:lang w:val="en-US" w:eastAsia="zh-CN"/>
            </w:rPr>
            <w:t>二、建设依据</w:t>
          </w:r>
          <w:r>
            <w:tab/>
          </w:r>
          <w:r>
            <w:fldChar w:fldCharType="begin"/>
          </w:r>
          <w:r>
            <w:instrText xml:space="preserve"> PAGEREF _Toc3683 \h </w:instrText>
          </w:r>
          <w:r>
            <w:fldChar w:fldCharType="separate"/>
          </w:r>
          <w:r>
            <w:t>2</w:t>
          </w:r>
          <w:r>
            <w:fldChar w:fldCharType="end"/>
          </w:r>
          <w:r>
            <w:rPr>
              <w:rFonts w:hint="eastAsia" w:ascii="黑体" w:hAnsi="黑体" w:eastAsia="黑体" w:cs="黑体"/>
              <w:bCs w:val="0"/>
              <w:szCs w:val="32"/>
              <w:highlight w:val="none"/>
              <w:lang w:val="en-US" w:eastAsia="zh-CN"/>
            </w:rPr>
            <w:fldChar w:fldCharType="end"/>
          </w:r>
        </w:p>
        <w:p w14:paraId="2107FF8D">
          <w:pPr>
            <w:pStyle w:val="16"/>
            <w:tabs>
              <w:tab w:val="right" w:leader="dot" w:pos="8414"/>
            </w:tabs>
          </w:pPr>
          <w:r>
            <w:rPr>
              <w:rFonts w:hint="eastAsia" w:ascii="黑体" w:hAnsi="黑体" w:eastAsia="黑体" w:cs="黑体"/>
              <w:bCs w:val="0"/>
              <w:szCs w:val="32"/>
              <w:highlight w:val="none"/>
              <w:lang w:val="en-US" w:eastAsia="zh-CN"/>
            </w:rPr>
            <w:fldChar w:fldCharType="begin"/>
          </w:r>
          <w:r>
            <w:rPr>
              <w:rFonts w:hint="eastAsia" w:ascii="黑体" w:hAnsi="黑体" w:eastAsia="黑体" w:cs="黑体"/>
              <w:bCs w:val="0"/>
              <w:szCs w:val="32"/>
              <w:highlight w:val="none"/>
              <w:lang w:val="en-US" w:eastAsia="zh-CN"/>
            </w:rPr>
            <w:instrText xml:space="preserve"> HYPERLINK \l _Toc19119 </w:instrText>
          </w:r>
          <w:r>
            <w:rPr>
              <w:rFonts w:hint="eastAsia" w:ascii="黑体" w:hAnsi="黑体" w:eastAsia="黑体" w:cs="黑体"/>
              <w:bCs w:val="0"/>
              <w:szCs w:val="32"/>
              <w:highlight w:val="none"/>
              <w:lang w:val="en-US" w:eastAsia="zh-CN"/>
            </w:rPr>
            <w:fldChar w:fldCharType="separate"/>
          </w:r>
          <w:r>
            <w:rPr>
              <w:rFonts w:hint="eastAsia" w:ascii="宋体" w:hAnsi="宋体" w:eastAsia="宋体" w:cs="宋体"/>
              <w:bCs/>
              <w:szCs w:val="21"/>
              <w:highlight w:val="none"/>
              <w:lang w:val="en-US" w:eastAsia="zh-CN"/>
            </w:rPr>
            <w:t>2.1政策依据</w:t>
          </w:r>
          <w:r>
            <w:tab/>
          </w:r>
          <w:r>
            <w:fldChar w:fldCharType="begin"/>
          </w:r>
          <w:r>
            <w:instrText xml:space="preserve"> PAGEREF _Toc19119 \h </w:instrText>
          </w:r>
          <w:r>
            <w:fldChar w:fldCharType="separate"/>
          </w:r>
          <w:r>
            <w:t>2</w:t>
          </w:r>
          <w:r>
            <w:fldChar w:fldCharType="end"/>
          </w:r>
          <w:r>
            <w:rPr>
              <w:rFonts w:hint="eastAsia" w:ascii="黑体" w:hAnsi="黑体" w:eastAsia="黑体" w:cs="黑体"/>
              <w:bCs w:val="0"/>
              <w:szCs w:val="32"/>
              <w:highlight w:val="none"/>
              <w:lang w:val="en-US" w:eastAsia="zh-CN"/>
            </w:rPr>
            <w:fldChar w:fldCharType="end"/>
          </w:r>
        </w:p>
        <w:p w14:paraId="6A204178">
          <w:pPr>
            <w:pStyle w:val="16"/>
            <w:tabs>
              <w:tab w:val="right" w:leader="dot" w:pos="8414"/>
            </w:tabs>
          </w:pPr>
          <w:r>
            <w:rPr>
              <w:rFonts w:hint="eastAsia" w:ascii="黑体" w:hAnsi="黑体" w:eastAsia="黑体" w:cs="黑体"/>
              <w:bCs w:val="0"/>
              <w:szCs w:val="32"/>
              <w:highlight w:val="none"/>
              <w:lang w:val="en-US" w:eastAsia="zh-CN"/>
            </w:rPr>
            <w:fldChar w:fldCharType="begin"/>
          </w:r>
          <w:r>
            <w:rPr>
              <w:rFonts w:hint="eastAsia" w:ascii="黑体" w:hAnsi="黑体" w:eastAsia="黑体" w:cs="黑体"/>
              <w:bCs w:val="0"/>
              <w:szCs w:val="32"/>
              <w:highlight w:val="none"/>
              <w:lang w:val="en-US" w:eastAsia="zh-CN"/>
            </w:rPr>
            <w:instrText xml:space="preserve"> HYPERLINK \l _Toc16978 </w:instrText>
          </w:r>
          <w:r>
            <w:rPr>
              <w:rFonts w:hint="eastAsia" w:ascii="黑体" w:hAnsi="黑体" w:eastAsia="黑体" w:cs="黑体"/>
              <w:bCs w:val="0"/>
              <w:szCs w:val="32"/>
              <w:highlight w:val="none"/>
              <w:lang w:val="en-US" w:eastAsia="zh-CN"/>
            </w:rPr>
            <w:fldChar w:fldCharType="separate"/>
          </w:r>
          <w:r>
            <w:rPr>
              <w:rFonts w:hint="eastAsia" w:ascii="宋体" w:hAnsi="宋体" w:eastAsia="宋体" w:cs="宋体"/>
              <w:bCs/>
              <w:szCs w:val="21"/>
              <w:highlight w:val="none"/>
              <w:lang w:val="en-US" w:eastAsia="zh-CN"/>
            </w:rPr>
            <w:t>2.2技术依据</w:t>
          </w:r>
          <w:r>
            <w:tab/>
          </w:r>
          <w:r>
            <w:fldChar w:fldCharType="begin"/>
          </w:r>
          <w:r>
            <w:instrText xml:space="preserve"> PAGEREF _Toc16978 \h </w:instrText>
          </w:r>
          <w:r>
            <w:fldChar w:fldCharType="separate"/>
          </w:r>
          <w:r>
            <w:t>2</w:t>
          </w:r>
          <w:r>
            <w:fldChar w:fldCharType="end"/>
          </w:r>
          <w:r>
            <w:rPr>
              <w:rFonts w:hint="eastAsia" w:ascii="黑体" w:hAnsi="黑体" w:eastAsia="黑体" w:cs="黑体"/>
              <w:bCs w:val="0"/>
              <w:szCs w:val="32"/>
              <w:highlight w:val="none"/>
              <w:lang w:val="en-US" w:eastAsia="zh-CN"/>
            </w:rPr>
            <w:fldChar w:fldCharType="end"/>
          </w:r>
        </w:p>
        <w:p w14:paraId="040A1523">
          <w:pPr>
            <w:pStyle w:val="15"/>
            <w:tabs>
              <w:tab w:val="right" w:leader="dot" w:pos="8414"/>
            </w:tabs>
          </w:pPr>
          <w:r>
            <w:rPr>
              <w:rFonts w:hint="eastAsia" w:ascii="黑体" w:hAnsi="黑体" w:eastAsia="黑体" w:cs="黑体"/>
              <w:bCs w:val="0"/>
              <w:szCs w:val="32"/>
              <w:highlight w:val="none"/>
              <w:lang w:val="en-US" w:eastAsia="zh-CN"/>
            </w:rPr>
            <w:fldChar w:fldCharType="begin"/>
          </w:r>
          <w:r>
            <w:rPr>
              <w:rFonts w:hint="eastAsia" w:ascii="黑体" w:hAnsi="黑体" w:eastAsia="黑体" w:cs="黑体"/>
              <w:bCs w:val="0"/>
              <w:szCs w:val="32"/>
              <w:highlight w:val="none"/>
              <w:lang w:val="en-US" w:eastAsia="zh-CN"/>
            </w:rPr>
            <w:instrText xml:space="preserve"> HYPERLINK \l _Toc11399 </w:instrText>
          </w:r>
          <w:r>
            <w:rPr>
              <w:rFonts w:hint="eastAsia" w:ascii="黑体" w:hAnsi="黑体" w:eastAsia="黑体" w:cs="黑体"/>
              <w:bCs w:val="0"/>
              <w:szCs w:val="32"/>
              <w:highlight w:val="none"/>
              <w:lang w:val="en-US" w:eastAsia="zh-CN"/>
            </w:rPr>
            <w:fldChar w:fldCharType="separate"/>
          </w:r>
          <w:r>
            <w:rPr>
              <w:rFonts w:hint="eastAsia" w:ascii="黑体" w:hAnsi="黑体" w:eastAsia="黑体" w:cs="黑体"/>
              <w:bCs w:val="0"/>
              <w:szCs w:val="22"/>
              <w:highlight w:val="none"/>
              <w:lang w:val="en-US" w:eastAsia="zh-CN"/>
            </w:rPr>
            <w:t>三、现状分析</w:t>
          </w:r>
          <w:r>
            <w:tab/>
          </w:r>
          <w:r>
            <w:fldChar w:fldCharType="begin"/>
          </w:r>
          <w:r>
            <w:instrText xml:space="preserve"> PAGEREF _Toc11399 \h </w:instrText>
          </w:r>
          <w:r>
            <w:fldChar w:fldCharType="separate"/>
          </w:r>
          <w:r>
            <w:t>3</w:t>
          </w:r>
          <w:r>
            <w:fldChar w:fldCharType="end"/>
          </w:r>
          <w:r>
            <w:rPr>
              <w:rFonts w:hint="eastAsia" w:ascii="黑体" w:hAnsi="黑体" w:eastAsia="黑体" w:cs="黑体"/>
              <w:bCs w:val="0"/>
              <w:szCs w:val="32"/>
              <w:highlight w:val="none"/>
              <w:lang w:val="en-US" w:eastAsia="zh-CN"/>
            </w:rPr>
            <w:fldChar w:fldCharType="end"/>
          </w:r>
        </w:p>
        <w:p w14:paraId="7AA2D4CC">
          <w:pPr>
            <w:pStyle w:val="16"/>
            <w:tabs>
              <w:tab w:val="right" w:leader="dot" w:pos="8414"/>
            </w:tabs>
          </w:pPr>
          <w:r>
            <w:rPr>
              <w:rFonts w:hint="eastAsia" w:ascii="黑体" w:hAnsi="黑体" w:eastAsia="黑体" w:cs="黑体"/>
              <w:bCs w:val="0"/>
              <w:szCs w:val="32"/>
              <w:highlight w:val="none"/>
              <w:lang w:val="en-US" w:eastAsia="zh-CN"/>
            </w:rPr>
            <w:fldChar w:fldCharType="begin"/>
          </w:r>
          <w:r>
            <w:rPr>
              <w:rFonts w:hint="eastAsia" w:ascii="黑体" w:hAnsi="黑体" w:eastAsia="黑体" w:cs="黑体"/>
              <w:bCs w:val="0"/>
              <w:szCs w:val="32"/>
              <w:highlight w:val="none"/>
              <w:lang w:val="en-US" w:eastAsia="zh-CN"/>
            </w:rPr>
            <w:instrText xml:space="preserve"> HYPERLINK \l _Toc13948 </w:instrText>
          </w:r>
          <w:r>
            <w:rPr>
              <w:rFonts w:hint="eastAsia" w:ascii="黑体" w:hAnsi="黑体" w:eastAsia="黑体" w:cs="黑体"/>
              <w:bCs w:val="0"/>
              <w:szCs w:val="32"/>
              <w:highlight w:val="none"/>
              <w:lang w:val="en-US" w:eastAsia="zh-CN"/>
            </w:rPr>
            <w:fldChar w:fldCharType="separate"/>
          </w:r>
          <w:r>
            <w:rPr>
              <w:rFonts w:hint="eastAsia" w:ascii="宋体" w:hAnsi="宋体" w:eastAsia="宋体" w:cs="宋体"/>
              <w:bCs/>
              <w:szCs w:val="21"/>
              <w:highlight w:val="none"/>
              <w:lang w:val="en-US" w:eastAsia="zh-CN"/>
            </w:rPr>
            <w:t>3.1工业源VOCs排放是我市臭氧等污染物主要来源之一</w:t>
          </w:r>
          <w:r>
            <w:tab/>
          </w:r>
          <w:r>
            <w:fldChar w:fldCharType="begin"/>
          </w:r>
          <w:r>
            <w:instrText xml:space="preserve"> PAGEREF _Toc13948 \h </w:instrText>
          </w:r>
          <w:r>
            <w:fldChar w:fldCharType="separate"/>
          </w:r>
          <w:r>
            <w:t>3</w:t>
          </w:r>
          <w:r>
            <w:fldChar w:fldCharType="end"/>
          </w:r>
          <w:r>
            <w:rPr>
              <w:rFonts w:hint="eastAsia" w:ascii="黑体" w:hAnsi="黑体" w:eastAsia="黑体" w:cs="黑体"/>
              <w:bCs w:val="0"/>
              <w:szCs w:val="32"/>
              <w:highlight w:val="none"/>
              <w:lang w:val="en-US" w:eastAsia="zh-CN"/>
            </w:rPr>
            <w:fldChar w:fldCharType="end"/>
          </w:r>
        </w:p>
        <w:p w14:paraId="49B8B3A1">
          <w:pPr>
            <w:pStyle w:val="16"/>
            <w:tabs>
              <w:tab w:val="right" w:leader="dot" w:pos="8414"/>
            </w:tabs>
          </w:pPr>
          <w:r>
            <w:rPr>
              <w:rFonts w:hint="eastAsia" w:ascii="黑体" w:hAnsi="黑体" w:eastAsia="黑体" w:cs="黑体"/>
              <w:bCs w:val="0"/>
              <w:szCs w:val="32"/>
              <w:highlight w:val="none"/>
              <w:lang w:val="en-US" w:eastAsia="zh-CN"/>
            </w:rPr>
            <w:fldChar w:fldCharType="begin"/>
          </w:r>
          <w:r>
            <w:rPr>
              <w:rFonts w:hint="eastAsia" w:ascii="黑体" w:hAnsi="黑体" w:eastAsia="黑体" w:cs="黑体"/>
              <w:bCs w:val="0"/>
              <w:szCs w:val="32"/>
              <w:highlight w:val="none"/>
              <w:lang w:val="en-US" w:eastAsia="zh-CN"/>
            </w:rPr>
            <w:instrText xml:space="preserve"> HYPERLINK \l _Toc19215 </w:instrText>
          </w:r>
          <w:r>
            <w:rPr>
              <w:rFonts w:hint="eastAsia" w:ascii="黑体" w:hAnsi="黑体" w:eastAsia="黑体" w:cs="黑体"/>
              <w:bCs w:val="0"/>
              <w:szCs w:val="32"/>
              <w:highlight w:val="none"/>
              <w:lang w:val="en-US" w:eastAsia="zh-CN"/>
            </w:rPr>
            <w:fldChar w:fldCharType="separate"/>
          </w:r>
          <w:r>
            <w:rPr>
              <w:rFonts w:hint="eastAsia" w:ascii="宋体" w:hAnsi="宋体" w:eastAsia="宋体" w:cs="宋体"/>
              <w:bCs/>
              <w:szCs w:val="21"/>
              <w:highlight w:val="none"/>
              <w:lang w:val="en-US" w:eastAsia="zh-CN"/>
            </w:rPr>
            <w:t>3.2工业源VOCs排放监管手段需要完善</w:t>
          </w:r>
          <w:r>
            <w:tab/>
          </w:r>
          <w:r>
            <w:fldChar w:fldCharType="begin"/>
          </w:r>
          <w:r>
            <w:instrText xml:space="preserve"> PAGEREF _Toc19215 \h </w:instrText>
          </w:r>
          <w:r>
            <w:fldChar w:fldCharType="separate"/>
          </w:r>
          <w:r>
            <w:t>3</w:t>
          </w:r>
          <w:r>
            <w:fldChar w:fldCharType="end"/>
          </w:r>
          <w:r>
            <w:rPr>
              <w:rFonts w:hint="eastAsia" w:ascii="黑体" w:hAnsi="黑体" w:eastAsia="黑体" w:cs="黑体"/>
              <w:bCs w:val="0"/>
              <w:szCs w:val="32"/>
              <w:highlight w:val="none"/>
              <w:lang w:val="en-US" w:eastAsia="zh-CN"/>
            </w:rPr>
            <w:fldChar w:fldCharType="end"/>
          </w:r>
        </w:p>
        <w:p w14:paraId="1B34B4A6">
          <w:pPr>
            <w:pStyle w:val="16"/>
            <w:tabs>
              <w:tab w:val="right" w:leader="dot" w:pos="8414"/>
            </w:tabs>
          </w:pPr>
          <w:r>
            <w:rPr>
              <w:rFonts w:hint="eastAsia" w:ascii="黑体" w:hAnsi="黑体" w:eastAsia="黑体" w:cs="黑体"/>
              <w:bCs w:val="0"/>
              <w:szCs w:val="32"/>
              <w:highlight w:val="none"/>
              <w:lang w:val="en-US" w:eastAsia="zh-CN"/>
            </w:rPr>
            <w:fldChar w:fldCharType="begin"/>
          </w:r>
          <w:r>
            <w:rPr>
              <w:rFonts w:hint="eastAsia" w:ascii="黑体" w:hAnsi="黑体" w:eastAsia="黑体" w:cs="黑体"/>
              <w:bCs w:val="0"/>
              <w:szCs w:val="32"/>
              <w:highlight w:val="none"/>
              <w:lang w:val="en-US" w:eastAsia="zh-CN"/>
            </w:rPr>
            <w:instrText xml:space="preserve"> HYPERLINK \l _Toc4469 </w:instrText>
          </w:r>
          <w:r>
            <w:rPr>
              <w:rFonts w:hint="eastAsia" w:ascii="黑体" w:hAnsi="黑体" w:eastAsia="黑体" w:cs="黑体"/>
              <w:bCs w:val="0"/>
              <w:szCs w:val="32"/>
              <w:highlight w:val="none"/>
              <w:lang w:val="en-US" w:eastAsia="zh-CN"/>
            </w:rPr>
            <w:fldChar w:fldCharType="separate"/>
          </w:r>
          <w:r>
            <w:rPr>
              <w:rFonts w:hint="eastAsia" w:ascii="宋体" w:hAnsi="宋体" w:eastAsia="宋体" w:cs="宋体"/>
              <w:bCs/>
              <w:szCs w:val="21"/>
              <w:highlight w:val="none"/>
              <w:lang w:val="en-US" w:eastAsia="zh-CN"/>
            </w:rPr>
            <w:t>3.2信息化技术在环境监管体系方面的应用需进一步增强</w:t>
          </w:r>
          <w:r>
            <w:tab/>
          </w:r>
          <w:r>
            <w:fldChar w:fldCharType="begin"/>
          </w:r>
          <w:r>
            <w:instrText xml:space="preserve"> PAGEREF _Toc4469 \h </w:instrText>
          </w:r>
          <w:r>
            <w:fldChar w:fldCharType="separate"/>
          </w:r>
          <w:r>
            <w:t>4</w:t>
          </w:r>
          <w:r>
            <w:fldChar w:fldCharType="end"/>
          </w:r>
          <w:r>
            <w:rPr>
              <w:rFonts w:hint="eastAsia" w:ascii="黑体" w:hAnsi="黑体" w:eastAsia="黑体" w:cs="黑体"/>
              <w:bCs w:val="0"/>
              <w:szCs w:val="32"/>
              <w:highlight w:val="none"/>
              <w:lang w:val="en-US" w:eastAsia="zh-CN"/>
            </w:rPr>
            <w:fldChar w:fldCharType="end"/>
          </w:r>
        </w:p>
        <w:p w14:paraId="7AAC6C36">
          <w:pPr>
            <w:pStyle w:val="16"/>
            <w:tabs>
              <w:tab w:val="right" w:leader="dot" w:pos="8414"/>
            </w:tabs>
          </w:pPr>
          <w:r>
            <w:rPr>
              <w:rFonts w:hint="eastAsia" w:ascii="黑体" w:hAnsi="黑体" w:eastAsia="黑体" w:cs="黑体"/>
              <w:bCs w:val="0"/>
              <w:szCs w:val="32"/>
              <w:highlight w:val="none"/>
              <w:lang w:val="en-US" w:eastAsia="zh-CN"/>
            </w:rPr>
            <w:fldChar w:fldCharType="begin"/>
          </w:r>
          <w:r>
            <w:rPr>
              <w:rFonts w:hint="eastAsia" w:ascii="黑体" w:hAnsi="黑体" w:eastAsia="黑体" w:cs="黑体"/>
              <w:bCs w:val="0"/>
              <w:szCs w:val="32"/>
              <w:highlight w:val="none"/>
              <w:lang w:val="en-US" w:eastAsia="zh-CN"/>
            </w:rPr>
            <w:instrText xml:space="preserve"> HYPERLINK \l _Toc8084 </w:instrText>
          </w:r>
          <w:r>
            <w:rPr>
              <w:rFonts w:hint="eastAsia" w:ascii="黑体" w:hAnsi="黑体" w:eastAsia="黑体" w:cs="黑体"/>
              <w:bCs w:val="0"/>
              <w:szCs w:val="32"/>
              <w:highlight w:val="none"/>
              <w:lang w:val="en-US" w:eastAsia="zh-CN"/>
            </w:rPr>
            <w:fldChar w:fldCharType="separate"/>
          </w:r>
          <w:r>
            <w:rPr>
              <w:rFonts w:hint="eastAsia" w:ascii="宋体" w:hAnsi="宋体" w:eastAsia="宋体" w:cs="宋体"/>
              <w:bCs/>
              <w:szCs w:val="21"/>
              <w:highlight w:val="none"/>
              <w:lang w:val="en-US" w:eastAsia="zh-CN"/>
            </w:rPr>
            <w:t>3.3涉VOCs污染物排放智能管控可视化系统需要全覆盖</w:t>
          </w:r>
          <w:r>
            <w:tab/>
          </w:r>
          <w:r>
            <w:fldChar w:fldCharType="begin"/>
          </w:r>
          <w:r>
            <w:instrText xml:space="preserve"> PAGEREF _Toc8084 \h </w:instrText>
          </w:r>
          <w:r>
            <w:fldChar w:fldCharType="separate"/>
          </w:r>
          <w:r>
            <w:t>5</w:t>
          </w:r>
          <w:r>
            <w:fldChar w:fldCharType="end"/>
          </w:r>
          <w:r>
            <w:rPr>
              <w:rFonts w:hint="eastAsia" w:ascii="黑体" w:hAnsi="黑体" w:eastAsia="黑体" w:cs="黑体"/>
              <w:bCs w:val="0"/>
              <w:szCs w:val="32"/>
              <w:highlight w:val="none"/>
              <w:lang w:val="en-US" w:eastAsia="zh-CN"/>
            </w:rPr>
            <w:fldChar w:fldCharType="end"/>
          </w:r>
        </w:p>
        <w:p w14:paraId="54C0A0A8">
          <w:pPr>
            <w:pStyle w:val="15"/>
            <w:tabs>
              <w:tab w:val="right" w:leader="dot" w:pos="8414"/>
            </w:tabs>
          </w:pPr>
          <w:r>
            <w:rPr>
              <w:rFonts w:hint="eastAsia" w:ascii="黑体" w:hAnsi="黑体" w:eastAsia="黑体" w:cs="黑体"/>
              <w:bCs w:val="0"/>
              <w:szCs w:val="32"/>
              <w:highlight w:val="none"/>
              <w:lang w:val="en-US" w:eastAsia="zh-CN"/>
            </w:rPr>
            <w:fldChar w:fldCharType="begin"/>
          </w:r>
          <w:r>
            <w:rPr>
              <w:rFonts w:hint="eastAsia" w:ascii="黑体" w:hAnsi="黑体" w:eastAsia="黑体" w:cs="黑体"/>
              <w:bCs w:val="0"/>
              <w:szCs w:val="32"/>
              <w:highlight w:val="none"/>
              <w:lang w:val="en-US" w:eastAsia="zh-CN"/>
            </w:rPr>
            <w:instrText xml:space="preserve"> HYPERLINK \l _Toc18482 </w:instrText>
          </w:r>
          <w:r>
            <w:rPr>
              <w:rFonts w:hint="eastAsia" w:ascii="黑体" w:hAnsi="黑体" w:eastAsia="黑体" w:cs="黑体"/>
              <w:bCs w:val="0"/>
              <w:szCs w:val="32"/>
              <w:highlight w:val="none"/>
              <w:lang w:val="en-US" w:eastAsia="zh-CN"/>
            </w:rPr>
            <w:fldChar w:fldCharType="separate"/>
          </w:r>
          <w:r>
            <w:rPr>
              <w:rFonts w:hint="eastAsia" w:ascii="黑体" w:hAnsi="黑体" w:eastAsia="黑体" w:cs="黑体"/>
              <w:bCs w:val="0"/>
              <w:szCs w:val="22"/>
              <w:highlight w:val="none"/>
              <w:lang w:val="en-US" w:eastAsia="zh-CN"/>
            </w:rPr>
            <w:t>四、项目概况</w:t>
          </w:r>
          <w:r>
            <w:tab/>
          </w:r>
          <w:r>
            <w:fldChar w:fldCharType="begin"/>
          </w:r>
          <w:r>
            <w:instrText xml:space="preserve"> PAGEREF _Toc18482 \h </w:instrText>
          </w:r>
          <w:r>
            <w:fldChar w:fldCharType="separate"/>
          </w:r>
          <w:r>
            <w:t>6</w:t>
          </w:r>
          <w:r>
            <w:fldChar w:fldCharType="end"/>
          </w:r>
          <w:r>
            <w:rPr>
              <w:rFonts w:hint="eastAsia" w:ascii="黑体" w:hAnsi="黑体" w:eastAsia="黑体" w:cs="黑体"/>
              <w:bCs w:val="0"/>
              <w:szCs w:val="32"/>
              <w:highlight w:val="none"/>
              <w:lang w:val="en-US" w:eastAsia="zh-CN"/>
            </w:rPr>
            <w:fldChar w:fldCharType="end"/>
          </w:r>
        </w:p>
        <w:p w14:paraId="6B726893">
          <w:pPr>
            <w:pStyle w:val="16"/>
            <w:tabs>
              <w:tab w:val="right" w:leader="dot" w:pos="8414"/>
            </w:tabs>
          </w:pPr>
          <w:r>
            <w:rPr>
              <w:rFonts w:hint="eastAsia" w:ascii="黑体" w:hAnsi="黑体" w:eastAsia="黑体" w:cs="黑体"/>
              <w:bCs w:val="0"/>
              <w:szCs w:val="32"/>
              <w:highlight w:val="none"/>
              <w:lang w:val="en-US" w:eastAsia="zh-CN"/>
            </w:rPr>
            <w:fldChar w:fldCharType="begin"/>
          </w:r>
          <w:r>
            <w:rPr>
              <w:rFonts w:hint="eastAsia" w:ascii="黑体" w:hAnsi="黑体" w:eastAsia="黑体" w:cs="黑体"/>
              <w:bCs w:val="0"/>
              <w:szCs w:val="32"/>
              <w:highlight w:val="none"/>
              <w:lang w:val="en-US" w:eastAsia="zh-CN"/>
            </w:rPr>
            <w:instrText xml:space="preserve"> HYPERLINK \l _Toc12433 </w:instrText>
          </w:r>
          <w:r>
            <w:rPr>
              <w:rFonts w:hint="eastAsia" w:ascii="黑体" w:hAnsi="黑体" w:eastAsia="黑体" w:cs="黑体"/>
              <w:bCs w:val="0"/>
              <w:szCs w:val="32"/>
              <w:highlight w:val="none"/>
              <w:lang w:val="en-US" w:eastAsia="zh-CN"/>
            </w:rPr>
            <w:fldChar w:fldCharType="separate"/>
          </w:r>
          <w:r>
            <w:rPr>
              <w:rFonts w:hint="eastAsia" w:ascii="宋体" w:hAnsi="宋体" w:eastAsia="宋体" w:cs="宋体"/>
              <w:bCs/>
              <w:szCs w:val="21"/>
              <w:highlight w:val="none"/>
              <w:lang w:val="en-US" w:eastAsia="zh-CN"/>
            </w:rPr>
            <w:t>4.1建设内容</w:t>
          </w:r>
          <w:r>
            <w:tab/>
          </w:r>
          <w:r>
            <w:fldChar w:fldCharType="begin"/>
          </w:r>
          <w:r>
            <w:instrText xml:space="preserve"> PAGEREF _Toc12433 \h </w:instrText>
          </w:r>
          <w:r>
            <w:fldChar w:fldCharType="separate"/>
          </w:r>
          <w:r>
            <w:t>6</w:t>
          </w:r>
          <w:r>
            <w:fldChar w:fldCharType="end"/>
          </w:r>
          <w:r>
            <w:rPr>
              <w:rFonts w:hint="eastAsia" w:ascii="黑体" w:hAnsi="黑体" w:eastAsia="黑体" w:cs="黑体"/>
              <w:bCs w:val="0"/>
              <w:szCs w:val="32"/>
              <w:highlight w:val="none"/>
              <w:lang w:val="en-US" w:eastAsia="zh-CN"/>
            </w:rPr>
            <w:fldChar w:fldCharType="end"/>
          </w:r>
        </w:p>
        <w:p w14:paraId="027DEDBA">
          <w:pPr>
            <w:pStyle w:val="16"/>
            <w:tabs>
              <w:tab w:val="right" w:leader="dot" w:pos="8414"/>
            </w:tabs>
          </w:pPr>
          <w:r>
            <w:rPr>
              <w:rFonts w:hint="eastAsia" w:ascii="黑体" w:hAnsi="黑体" w:eastAsia="黑体" w:cs="黑体"/>
              <w:bCs w:val="0"/>
              <w:szCs w:val="32"/>
              <w:highlight w:val="none"/>
              <w:lang w:val="en-US" w:eastAsia="zh-CN"/>
            </w:rPr>
            <w:fldChar w:fldCharType="begin"/>
          </w:r>
          <w:r>
            <w:rPr>
              <w:rFonts w:hint="eastAsia" w:ascii="黑体" w:hAnsi="黑体" w:eastAsia="黑体" w:cs="黑体"/>
              <w:bCs w:val="0"/>
              <w:szCs w:val="32"/>
              <w:highlight w:val="none"/>
              <w:lang w:val="en-US" w:eastAsia="zh-CN"/>
            </w:rPr>
            <w:instrText xml:space="preserve"> HYPERLINK \l _Toc32571 </w:instrText>
          </w:r>
          <w:r>
            <w:rPr>
              <w:rFonts w:hint="eastAsia" w:ascii="黑体" w:hAnsi="黑体" w:eastAsia="黑体" w:cs="黑体"/>
              <w:bCs w:val="0"/>
              <w:szCs w:val="32"/>
              <w:highlight w:val="none"/>
              <w:lang w:val="en-US" w:eastAsia="zh-CN"/>
            </w:rPr>
            <w:fldChar w:fldCharType="separate"/>
          </w:r>
          <w:r>
            <w:rPr>
              <w:rFonts w:hint="eastAsia" w:ascii="宋体" w:hAnsi="宋体" w:eastAsia="宋体" w:cs="宋体"/>
              <w:bCs/>
              <w:szCs w:val="21"/>
              <w:highlight w:val="none"/>
              <w:lang w:val="en-US" w:eastAsia="zh-CN"/>
            </w:rPr>
            <w:t>4.2建设地点</w:t>
          </w:r>
          <w:r>
            <w:tab/>
          </w:r>
          <w:r>
            <w:fldChar w:fldCharType="begin"/>
          </w:r>
          <w:r>
            <w:instrText xml:space="preserve"> PAGEREF _Toc32571 \h </w:instrText>
          </w:r>
          <w:r>
            <w:fldChar w:fldCharType="separate"/>
          </w:r>
          <w:r>
            <w:t>7</w:t>
          </w:r>
          <w:r>
            <w:fldChar w:fldCharType="end"/>
          </w:r>
          <w:r>
            <w:rPr>
              <w:rFonts w:hint="eastAsia" w:ascii="黑体" w:hAnsi="黑体" w:eastAsia="黑体" w:cs="黑体"/>
              <w:bCs w:val="0"/>
              <w:szCs w:val="32"/>
              <w:highlight w:val="none"/>
              <w:lang w:val="en-US" w:eastAsia="zh-CN"/>
            </w:rPr>
            <w:fldChar w:fldCharType="end"/>
          </w:r>
        </w:p>
        <w:p w14:paraId="0E37FB7B">
          <w:pPr>
            <w:pStyle w:val="16"/>
            <w:tabs>
              <w:tab w:val="right" w:leader="dot" w:pos="8414"/>
            </w:tabs>
          </w:pPr>
          <w:r>
            <w:rPr>
              <w:rFonts w:hint="eastAsia" w:ascii="黑体" w:hAnsi="黑体" w:eastAsia="黑体" w:cs="黑体"/>
              <w:bCs w:val="0"/>
              <w:szCs w:val="32"/>
              <w:highlight w:val="none"/>
              <w:lang w:val="en-US" w:eastAsia="zh-CN"/>
            </w:rPr>
            <w:fldChar w:fldCharType="begin"/>
          </w:r>
          <w:r>
            <w:rPr>
              <w:rFonts w:hint="eastAsia" w:ascii="黑体" w:hAnsi="黑体" w:eastAsia="黑体" w:cs="黑体"/>
              <w:bCs w:val="0"/>
              <w:szCs w:val="32"/>
              <w:highlight w:val="none"/>
              <w:lang w:val="en-US" w:eastAsia="zh-CN"/>
            </w:rPr>
            <w:instrText xml:space="preserve"> HYPERLINK \l _Toc12445 </w:instrText>
          </w:r>
          <w:r>
            <w:rPr>
              <w:rFonts w:hint="eastAsia" w:ascii="黑体" w:hAnsi="黑体" w:eastAsia="黑体" w:cs="黑体"/>
              <w:bCs w:val="0"/>
              <w:szCs w:val="32"/>
              <w:highlight w:val="none"/>
              <w:lang w:val="en-US" w:eastAsia="zh-CN"/>
            </w:rPr>
            <w:fldChar w:fldCharType="separate"/>
          </w:r>
          <w:r>
            <w:rPr>
              <w:rFonts w:hint="eastAsia" w:ascii="宋体" w:hAnsi="宋体" w:eastAsia="宋体" w:cs="宋体"/>
              <w:bCs/>
              <w:szCs w:val="21"/>
              <w:highlight w:val="none"/>
              <w:lang w:val="en-US" w:eastAsia="zh-CN"/>
            </w:rPr>
            <w:t>4.3建设目标</w:t>
          </w:r>
          <w:r>
            <w:tab/>
          </w:r>
          <w:r>
            <w:fldChar w:fldCharType="begin"/>
          </w:r>
          <w:r>
            <w:instrText xml:space="preserve"> PAGEREF _Toc12445 \h </w:instrText>
          </w:r>
          <w:r>
            <w:fldChar w:fldCharType="separate"/>
          </w:r>
          <w:r>
            <w:t>7</w:t>
          </w:r>
          <w:r>
            <w:fldChar w:fldCharType="end"/>
          </w:r>
          <w:r>
            <w:rPr>
              <w:rFonts w:hint="eastAsia" w:ascii="黑体" w:hAnsi="黑体" w:eastAsia="黑体" w:cs="黑体"/>
              <w:bCs w:val="0"/>
              <w:szCs w:val="32"/>
              <w:highlight w:val="none"/>
              <w:lang w:val="en-US" w:eastAsia="zh-CN"/>
            </w:rPr>
            <w:fldChar w:fldCharType="end"/>
          </w:r>
        </w:p>
        <w:p w14:paraId="4B43B659">
          <w:pPr>
            <w:pStyle w:val="16"/>
            <w:tabs>
              <w:tab w:val="right" w:leader="dot" w:pos="8414"/>
            </w:tabs>
          </w:pPr>
          <w:r>
            <w:rPr>
              <w:rFonts w:hint="eastAsia" w:ascii="黑体" w:hAnsi="黑体" w:eastAsia="黑体" w:cs="黑体"/>
              <w:bCs w:val="0"/>
              <w:szCs w:val="32"/>
              <w:highlight w:val="none"/>
              <w:lang w:val="en-US" w:eastAsia="zh-CN"/>
            </w:rPr>
            <w:fldChar w:fldCharType="begin"/>
          </w:r>
          <w:r>
            <w:rPr>
              <w:rFonts w:hint="eastAsia" w:ascii="黑体" w:hAnsi="黑体" w:eastAsia="黑体" w:cs="黑体"/>
              <w:bCs w:val="0"/>
              <w:szCs w:val="32"/>
              <w:highlight w:val="none"/>
              <w:lang w:val="en-US" w:eastAsia="zh-CN"/>
            </w:rPr>
            <w:instrText xml:space="preserve"> HYPERLINK \l _Toc26184 </w:instrText>
          </w:r>
          <w:r>
            <w:rPr>
              <w:rFonts w:hint="eastAsia" w:ascii="黑体" w:hAnsi="黑体" w:eastAsia="黑体" w:cs="黑体"/>
              <w:bCs w:val="0"/>
              <w:szCs w:val="32"/>
              <w:highlight w:val="none"/>
              <w:lang w:val="en-US" w:eastAsia="zh-CN"/>
            </w:rPr>
            <w:fldChar w:fldCharType="separate"/>
          </w:r>
          <w:r>
            <w:rPr>
              <w:rFonts w:hint="eastAsia" w:ascii="宋体" w:hAnsi="宋体" w:eastAsia="宋体" w:cs="宋体"/>
              <w:bCs/>
              <w:szCs w:val="21"/>
              <w:highlight w:val="none"/>
              <w:lang w:val="en-US" w:eastAsia="zh-CN"/>
            </w:rPr>
            <w:t>4.4建设期</w:t>
          </w:r>
          <w:r>
            <w:tab/>
          </w:r>
          <w:r>
            <w:fldChar w:fldCharType="begin"/>
          </w:r>
          <w:r>
            <w:instrText xml:space="preserve"> PAGEREF _Toc26184 \h </w:instrText>
          </w:r>
          <w:r>
            <w:fldChar w:fldCharType="separate"/>
          </w:r>
          <w:r>
            <w:t>8</w:t>
          </w:r>
          <w:r>
            <w:fldChar w:fldCharType="end"/>
          </w:r>
          <w:r>
            <w:rPr>
              <w:rFonts w:hint="eastAsia" w:ascii="黑体" w:hAnsi="黑体" w:eastAsia="黑体" w:cs="黑体"/>
              <w:bCs w:val="0"/>
              <w:szCs w:val="32"/>
              <w:highlight w:val="none"/>
              <w:lang w:val="en-US" w:eastAsia="zh-CN"/>
            </w:rPr>
            <w:fldChar w:fldCharType="end"/>
          </w:r>
        </w:p>
        <w:p w14:paraId="3DACA0EA">
          <w:pPr>
            <w:pStyle w:val="16"/>
            <w:tabs>
              <w:tab w:val="right" w:leader="dot" w:pos="8414"/>
            </w:tabs>
          </w:pPr>
          <w:r>
            <w:rPr>
              <w:rFonts w:hint="eastAsia" w:ascii="黑体" w:hAnsi="黑体" w:eastAsia="黑体" w:cs="黑体"/>
              <w:bCs w:val="0"/>
              <w:szCs w:val="32"/>
              <w:highlight w:val="none"/>
              <w:lang w:val="en-US" w:eastAsia="zh-CN"/>
            </w:rPr>
            <w:fldChar w:fldCharType="begin"/>
          </w:r>
          <w:r>
            <w:rPr>
              <w:rFonts w:hint="eastAsia" w:ascii="黑体" w:hAnsi="黑体" w:eastAsia="黑体" w:cs="黑体"/>
              <w:bCs w:val="0"/>
              <w:szCs w:val="32"/>
              <w:highlight w:val="none"/>
              <w:lang w:val="en-US" w:eastAsia="zh-CN"/>
            </w:rPr>
            <w:instrText xml:space="preserve"> HYPERLINK \l _Toc16899 </w:instrText>
          </w:r>
          <w:r>
            <w:rPr>
              <w:rFonts w:hint="eastAsia" w:ascii="黑体" w:hAnsi="黑体" w:eastAsia="黑体" w:cs="黑体"/>
              <w:bCs w:val="0"/>
              <w:szCs w:val="32"/>
              <w:highlight w:val="none"/>
              <w:lang w:val="en-US" w:eastAsia="zh-CN"/>
            </w:rPr>
            <w:fldChar w:fldCharType="separate"/>
          </w:r>
          <w:r>
            <w:rPr>
              <w:rFonts w:hint="eastAsia" w:ascii="宋体" w:hAnsi="宋体" w:eastAsia="宋体" w:cs="宋体"/>
              <w:bCs/>
              <w:szCs w:val="21"/>
              <w:highlight w:val="none"/>
              <w:lang w:val="en-US" w:eastAsia="zh-CN"/>
            </w:rPr>
            <w:t>4.5项目总投资及资金来源</w:t>
          </w:r>
          <w:r>
            <w:tab/>
          </w:r>
          <w:r>
            <w:fldChar w:fldCharType="begin"/>
          </w:r>
          <w:r>
            <w:instrText xml:space="preserve"> PAGEREF _Toc16899 \h </w:instrText>
          </w:r>
          <w:r>
            <w:fldChar w:fldCharType="separate"/>
          </w:r>
          <w:r>
            <w:t>8</w:t>
          </w:r>
          <w:r>
            <w:fldChar w:fldCharType="end"/>
          </w:r>
          <w:r>
            <w:rPr>
              <w:rFonts w:hint="eastAsia" w:ascii="黑体" w:hAnsi="黑体" w:eastAsia="黑体" w:cs="黑体"/>
              <w:bCs w:val="0"/>
              <w:szCs w:val="32"/>
              <w:highlight w:val="none"/>
              <w:lang w:val="en-US" w:eastAsia="zh-CN"/>
            </w:rPr>
            <w:fldChar w:fldCharType="end"/>
          </w:r>
        </w:p>
        <w:p w14:paraId="3F425853">
          <w:pPr>
            <w:pStyle w:val="16"/>
            <w:tabs>
              <w:tab w:val="right" w:leader="dot" w:pos="8414"/>
            </w:tabs>
          </w:pPr>
          <w:r>
            <w:rPr>
              <w:rFonts w:hint="eastAsia" w:ascii="黑体" w:hAnsi="黑体" w:eastAsia="黑体" w:cs="黑体"/>
              <w:bCs w:val="0"/>
              <w:szCs w:val="32"/>
              <w:highlight w:val="none"/>
              <w:lang w:val="en-US" w:eastAsia="zh-CN"/>
            </w:rPr>
            <w:fldChar w:fldCharType="begin"/>
          </w:r>
          <w:r>
            <w:rPr>
              <w:rFonts w:hint="eastAsia" w:ascii="黑体" w:hAnsi="黑体" w:eastAsia="黑体" w:cs="黑体"/>
              <w:bCs w:val="0"/>
              <w:szCs w:val="32"/>
              <w:highlight w:val="none"/>
              <w:lang w:val="en-US" w:eastAsia="zh-CN"/>
            </w:rPr>
            <w:instrText xml:space="preserve"> HYPERLINK \l _Toc27145 </w:instrText>
          </w:r>
          <w:r>
            <w:rPr>
              <w:rFonts w:hint="eastAsia" w:ascii="黑体" w:hAnsi="黑体" w:eastAsia="黑体" w:cs="黑体"/>
              <w:bCs w:val="0"/>
              <w:szCs w:val="32"/>
              <w:highlight w:val="none"/>
              <w:lang w:val="en-US" w:eastAsia="zh-CN"/>
            </w:rPr>
            <w:fldChar w:fldCharType="separate"/>
          </w:r>
          <w:r>
            <w:rPr>
              <w:rFonts w:hint="eastAsia" w:ascii="宋体" w:hAnsi="宋体" w:eastAsia="宋体" w:cs="宋体"/>
              <w:bCs/>
              <w:szCs w:val="21"/>
              <w:highlight w:val="none"/>
              <w:lang w:val="en-US" w:eastAsia="zh-CN"/>
            </w:rPr>
            <w:t>4.6项目建设性质</w:t>
          </w:r>
          <w:r>
            <w:tab/>
          </w:r>
          <w:r>
            <w:fldChar w:fldCharType="begin"/>
          </w:r>
          <w:r>
            <w:instrText xml:space="preserve"> PAGEREF _Toc27145 \h </w:instrText>
          </w:r>
          <w:r>
            <w:fldChar w:fldCharType="separate"/>
          </w:r>
          <w:r>
            <w:t>8</w:t>
          </w:r>
          <w:r>
            <w:fldChar w:fldCharType="end"/>
          </w:r>
          <w:r>
            <w:rPr>
              <w:rFonts w:hint="eastAsia" w:ascii="黑体" w:hAnsi="黑体" w:eastAsia="黑体" w:cs="黑体"/>
              <w:bCs w:val="0"/>
              <w:szCs w:val="32"/>
              <w:highlight w:val="none"/>
              <w:lang w:val="en-US" w:eastAsia="zh-CN"/>
            </w:rPr>
            <w:fldChar w:fldCharType="end"/>
          </w:r>
        </w:p>
        <w:p w14:paraId="27FE218F">
          <w:pPr>
            <w:pStyle w:val="16"/>
            <w:tabs>
              <w:tab w:val="right" w:leader="dot" w:pos="8414"/>
            </w:tabs>
          </w:pPr>
          <w:r>
            <w:rPr>
              <w:rFonts w:hint="eastAsia" w:ascii="黑体" w:hAnsi="黑体" w:eastAsia="黑体" w:cs="黑体"/>
              <w:bCs w:val="0"/>
              <w:szCs w:val="32"/>
              <w:highlight w:val="none"/>
              <w:lang w:val="en-US" w:eastAsia="zh-CN"/>
            </w:rPr>
            <w:fldChar w:fldCharType="begin"/>
          </w:r>
          <w:r>
            <w:rPr>
              <w:rFonts w:hint="eastAsia" w:ascii="黑体" w:hAnsi="黑体" w:eastAsia="黑体" w:cs="黑体"/>
              <w:bCs w:val="0"/>
              <w:szCs w:val="32"/>
              <w:highlight w:val="none"/>
              <w:lang w:val="en-US" w:eastAsia="zh-CN"/>
            </w:rPr>
            <w:instrText xml:space="preserve"> HYPERLINK \l _Toc27651 </w:instrText>
          </w:r>
          <w:r>
            <w:rPr>
              <w:rFonts w:hint="eastAsia" w:ascii="黑体" w:hAnsi="黑体" w:eastAsia="黑体" w:cs="黑体"/>
              <w:bCs w:val="0"/>
              <w:szCs w:val="32"/>
              <w:highlight w:val="none"/>
              <w:lang w:val="en-US" w:eastAsia="zh-CN"/>
            </w:rPr>
            <w:fldChar w:fldCharType="separate"/>
          </w:r>
          <w:r>
            <w:rPr>
              <w:rFonts w:hint="eastAsia" w:ascii="宋体" w:hAnsi="宋体" w:eastAsia="宋体" w:cs="宋体"/>
              <w:bCs/>
              <w:szCs w:val="21"/>
              <w:highlight w:val="none"/>
              <w:lang w:val="en-US" w:eastAsia="zh-CN"/>
            </w:rPr>
            <w:t>4.7项目建设必要性分析</w:t>
          </w:r>
          <w:r>
            <w:tab/>
          </w:r>
          <w:r>
            <w:fldChar w:fldCharType="begin"/>
          </w:r>
          <w:r>
            <w:instrText xml:space="preserve"> PAGEREF _Toc27651 \h </w:instrText>
          </w:r>
          <w:r>
            <w:fldChar w:fldCharType="separate"/>
          </w:r>
          <w:r>
            <w:t>8</w:t>
          </w:r>
          <w:r>
            <w:fldChar w:fldCharType="end"/>
          </w:r>
          <w:r>
            <w:rPr>
              <w:rFonts w:hint="eastAsia" w:ascii="黑体" w:hAnsi="黑体" w:eastAsia="黑体" w:cs="黑体"/>
              <w:bCs w:val="0"/>
              <w:szCs w:val="32"/>
              <w:highlight w:val="none"/>
              <w:lang w:val="en-US" w:eastAsia="zh-CN"/>
            </w:rPr>
            <w:fldChar w:fldCharType="end"/>
          </w:r>
        </w:p>
        <w:p w14:paraId="085566D0">
          <w:pPr>
            <w:pStyle w:val="15"/>
            <w:tabs>
              <w:tab w:val="right" w:leader="dot" w:pos="8414"/>
            </w:tabs>
          </w:pPr>
          <w:r>
            <w:rPr>
              <w:rFonts w:hint="eastAsia" w:ascii="黑体" w:hAnsi="黑体" w:eastAsia="黑体" w:cs="黑体"/>
              <w:bCs w:val="0"/>
              <w:szCs w:val="32"/>
              <w:highlight w:val="none"/>
              <w:lang w:val="en-US" w:eastAsia="zh-CN"/>
            </w:rPr>
            <w:fldChar w:fldCharType="begin"/>
          </w:r>
          <w:r>
            <w:rPr>
              <w:rFonts w:hint="eastAsia" w:ascii="黑体" w:hAnsi="黑体" w:eastAsia="黑体" w:cs="黑体"/>
              <w:bCs w:val="0"/>
              <w:szCs w:val="32"/>
              <w:highlight w:val="none"/>
              <w:lang w:val="en-US" w:eastAsia="zh-CN"/>
            </w:rPr>
            <w:instrText xml:space="preserve"> HYPERLINK \l _Toc13543 </w:instrText>
          </w:r>
          <w:r>
            <w:rPr>
              <w:rFonts w:hint="eastAsia" w:ascii="黑体" w:hAnsi="黑体" w:eastAsia="黑体" w:cs="黑体"/>
              <w:bCs w:val="0"/>
              <w:szCs w:val="32"/>
              <w:highlight w:val="none"/>
              <w:lang w:val="en-US" w:eastAsia="zh-CN"/>
            </w:rPr>
            <w:fldChar w:fldCharType="separate"/>
          </w:r>
          <w:r>
            <w:rPr>
              <w:rFonts w:hint="eastAsia" w:ascii="黑体" w:hAnsi="黑体" w:eastAsia="黑体" w:cs="黑体"/>
              <w:bCs w:val="0"/>
              <w:szCs w:val="22"/>
              <w:highlight w:val="none"/>
              <w:lang w:val="en-US" w:eastAsia="zh-CN"/>
            </w:rPr>
            <w:t>五、实施方案</w:t>
          </w:r>
          <w:r>
            <w:tab/>
          </w:r>
          <w:r>
            <w:fldChar w:fldCharType="begin"/>
          </w:r>
          <w:r>
            <w:instrText xml:space="preserve"> PAGEREF _Toc13543 \h </w:instrText>
          </w:r>
          <w:r>
            <w:fldChar w:fldCharType="separate"/>
          </w:r>
          <w:r>
            <w:t>10</w:t>
          </w:r>
          <w:r>
            <w:fldChar w:fldCharType="end"/>
          </w:r>
          <w:r>
            <w:rPr>
              <w:rFonts w:hint="eastAsia" w:ascii="黑体" w:hAnsi="黑体" w:eastAsia="黑体" w:cs="黑体"/>
              <w:bCs w:val="0"/>
              <w:szCs w:val="32"/>
              <w:highlight w:val="none"/>
              <w:lang w:val="en-US" w:eastAsia="zh-CN"/>
            </w:rPr>
            <w:fldChar w:fldCharType="end"/>
          </w:r>
        </w:p>
        <w:p w14:paraId="3B4AB2DA">
          <w:pPr>
            <w:pStyle w:val="16"/>
            <w:tabs>
              <w:tab w:val="right" w:leader="dot" w:pos="8414"/>
            </w:tabs>
          </w:pPr>
          <w:r>
            <w:rPr>
              <w:rFonts w:hint="eastAsia" w:ascii="黑体" w:hAnsi="黑体" w:eastAsia="黑体" w:cs="黑体"/>
              <w:bCs w:val="0"/>
              <w:szCs w:val="32"/>
              <w:highlight w:val="none"/>
              <w:lang w:val="en-US" w:eastAsia="zh-CN"/>
            </w:rPr>
            <w:fldChar w:fldCharType="begin"/>
          </w:r>
          <w:r>
            <w:rPr>
              <w:rFonts w:hint="eastAsia" w:ascii="黑体" w:hAnsi="黑体" w:eastAsia="黑体" w:cs="黑体"/>
              <w:bCs w:val="0"/>
              <w:szCs w:val="32"/>
              <w:highlight w:val="none"/>
              <w:lang w:val="en-US" w:eastAsia="zh-CN"/>
            </w:rPr>
            <w:instrText xml:space="preserve"> HYPERLINK \l _Toc30457 </w:instrText>
          </w:r>
          <w:r>
            <w:rPr>
              <w:rFonts w:hint="eastAsia" w:ascii="黑体" w:hAnsi="黑体" w:eastAsia="黑体" w:cs="黑体"/>
              <w:bCs w:val="0"/>
              <w:szCs w:val="32"/>
              <w:highlight w:val="none"/>
              <w:lang w:val="en-US" w:eastAsia="zh-CN"/>
            </w:rPr>
            <w:fldChar w:fldCharType="separate"/>
          </w:r>
          <w:r>
            <w:rPr>
              <w:rFonts w:hint="eastAsia" w:ascii="宋体" w:hAnsi="宋体" w:eastAsia="宋体" w:cs="宋体"/>
              <w:bCs/>
              <w:szCs w:val="21"/>
              <w:highlight w:val="none"/>
              <w:lang w:val="en-US" w:eastAsia="zh-CN"/>
            </w:rPr>
            <w:t>5.1项目建设的系统架构</w:t>
          </w:r>
          <w:r>
            <w:tab/>
          </w:r>
          <w:r>
            <w:fldChar w:fldCharType="begin"/>
          </w:r>
          <w:r>
            <w:instrText xml:space="preserve"> PAGEREF _Toc30457 \h </w:instrText>
          </w:r>
          <w:r>
            <w:fldChar w:fldCharType="separate"/>
          </w:r>
          <w:r>
            <w:t>10</w:t>
          </w:r>
          <w:r>
            <w:fldChar w:fldCharType="end"/>
          </w:r>
          <w:r>
            <w:rPr>
              <w:rFonts w:hint="eastAsia" w:ascii="黑体" w:hAnsi="黑体" w:eastAsia="黑体" w:cs="黑体"/>
              <w:bCs w:val="0"/>
              <w:szCs w:val="32"/>
              <w:highlight w:val="none"/>
              <w:lang w:val="en-US" w:eastAsia="zh-CN"/>
            </w:rPr>
            <w:fldChar w:fldCharType="end"/>
          </w:r>
        </w:p>
        <w:p w14:paraId="62FBDE0D">
          <w:pPr>
            <w:pStyle w:val="16"/>
            <w:tabs>
              <w:tab w:val="right" w:leader="dot" w:pos="8414"/>
            </w:tabs>
          </w:pPr>
          <w:r>
            <w:rPr>
              <w:rFonts w:hint="eastAsia" w:ascii="黑体" w:hAnsi="黑体" w:eastAsia="黑体" w:cs="黑体"/>
              <w:bCs w:val="0"/>
              <w:szCs w:val="32"/>
              <w:highlight w:val="none"/>
              <w:lang w:val="en-US" w:eastAsia="zh-CN"/>
            </w:rPr>
            <w:fldChar w:fldCharType="begin"/>
          </w:r>
          <w:r>
            <w:rPr>
              <w:rFonts w:hint="eastAsia" w:ascii="黑体" w:hAnsi="黑体" w:eastAsia="黑体" w:cs="黑体"/>
              <w:bCs w:val="0"/>
              <w:szCs w:val="32"/>
              <w:highlight w:val="none"/>
              <w:lang w:val="en-US" w:eastAsia="zh-CN"/>
            </w:rPr>
            <w:instrText xml:space="preserve"> HYPERLINK \l _Toc32503 </w:instrText>
          </w:r>
          <w:r>
            <w:rPr>
              <w:rFonts w:hint="eastAsia" w:ascii="黑体" w:hAnsi="黑体" w:eastAsia="黑体" w:cs="黑体"/>
              <w:bCs w:val="0"/>
              <w:szCs w:val="32"/>
              <w:highlight w:val="none"/>
              <w:lang w:val="en-US" w:eastAsia="zh-CN"/>
            </w:rPr>
            <w:fldChar w:fldCharType="separate"/>
          </w:r>
          <w:r>
            <w:rPr>
              <w:rFonts w:hint="eastAsia" w:ascii="宋体" w:hAnsi="宋体" w:eastAsia="宋体" w:cs="宋体"/>
              <w:bCs/>
              <w:szCs w:val="21"/>
              <w:highlight w:val="none"/>
              <w:lang w:val="en-US" w:eastAsia="zh-CN"/>
            </w:rPr>
            <w:t>5.2项目实施主要监管应用</w:t>
          </w:r>
          <w:r>
            <w:tab/>
          </w:r>
          <w:r>
            <w:fldChar w:fldCharType="begin"/>
          </w:r>
          <w:r>
            <w:instrText xml:space="preserve"> PAGEREF _Toc32503 \h </w:instrText>
          </w:r>
          <w:r>
            <w:fldChar w:fldCharType="separate"/>
          </w:r>
          <w:r>
            <w:t>11</w:t>
          </w:r>
          <w:r>
            <w:fldChar w:fldCharType="end"/>
          </w:r>
          <w:r>
            <w:rPr>
              <w:rFonts w:hint="eastAsia" w:ascii="黑体" w:hAnsi="黑体" w:eastAsia="黑体" w:cs="黑体"/>
              <w:bCs w:val="0"/>
              <w:szCs w:val="32"/>
              <w:highlight w:val="none"/>
              <w:lang w:val="en-US" w:eastAsia="zh-CN"/>
            </w:rPr>
            <w:fldChar w:fldCharType="end"/>
          </w:r>
        </w:p>
        <w:p w14:paraId="78F3F4D2">
          <w:pPr>
            <w:pStyle w:val="16"/>
            <w:tabs>
              <w:tab w:val="right" w:leader="dot" w:pos="8414"/>
            </w:tabs>
          </w:pPr>
          <w:r>
            <w:rPr>
              <w:rFonts w:hint="eastAsia" w:ascii="黑体" w:hAnsi="黑体" w:eastAsia="黑体" w:cs="黑体"/>
              <w:bCs w:val="0"/>
              <w:szCs w:val="32"/>
              <w:highlight w:val="none"/>
              <w:lang w:val="en-US" w:eastAsia="zh-CN"/>
            </w:rPr>
            <w:fldChar w:fldCharType="begin"/>
          </w:r>
          <w:r>
            <w:rPr>
              <w:rFonts w:hint="eastAsia" w:ascii="黑体" w:hAnsi="黑体" w:eastAsia="黑体" w:cs="黑体"/>
              <w:bCs w:val="0"/>
              <w:szCs w:val="32"/>
              <w:highlight w:val="none"/>
              <w:lang w:val="en-US" w:eastAsia="zh-CN"/>
            </w:rPr>
            <w:instrText xml:space="preserve"> HYPERLINK \l _Toc20238 </w:instrText>
          </w:r>
          <w:r>
            <w:rPr>
              <w:rFonts w:hint="eastAsia" w:ascii="黑体" w:hAnsi="黑体" w:eastAsia="黑体" w:cs="黑体"/>
              <w:bCs w:val="0"/>
              <w:szCs w:val="32"/>
              <w:highlight w:val="none"/>
              <w:lang w:val="en-US" w:eastAsia="zh-CN"/>
            </w:rPr>
            <w:fldChar w:fldCharType="separate"/>
          </w:r>
          <w:r>
            <w:rPr>
              <w:rFonts w:hint="eastAsia" w:ascii="宋体" w:hAnsi="宋体" w:eastAsia="宋体" w:cs="宋体"/>
              <w:bCs/>
              <w:szCs w:val="21"/>
              <w:highlight w:val="none"/>
              <w:lang w:val="en-US" w:eastAsia="zh-CN"/>
            </w:rPr>
            <w:t>5.3项目实施内容</w:t>
          </w:r>
          <w:r>
            <w:tab/>
          </w:r>
          <w:r>
            <w:fldChar w:fldCharType="begin"/>
          </w:r>
          <w:r>
            <w:instrText xml:space="preserve"> PAGEREF _Toc20238 \h </w:instrText>
          </w:r>
          <w:r>
            <w:fldChar w:fldCharType="separate"/>
          </w:r>
          <w:r>
            <w:t>12</w:t>
          </w:r>
          <w:r>
            <w:fldChar w:fldCharType="end"/>
          </w:r>
          <w:r>
            <w:rPr>
              <w:rFonts w:hint="eastAsia" w:ascii="黑体" w:hAnsi="黑体" w:eastAsia="黑体" w:cs="黑体"/>
              <w:bCs w:val="0"/>
              <w:szCs w:val="32"/>
              <w:highlight w:val="none"/>
              <w:lang w:val="en-US" w:eastAsia="zh-CN"/>
            </w:rPr>
            <w:fldChar w:fldCharType="end"/>
          </w:r>
        </w:p>
        <w:p w14:paraId="37300C43">
          <w:pPr>
            <w:pStyle w:val="16"/>
            <w:tabs>
              <w:tab w:val="right" w:leader="dot" w:pos="8414"/>
            </w:tabs>
          </w:pPr>
          <w:r>
            <w:rPr>
              <w:rFonts w:hint="eastAsia" w:ascii="黑体" w:hAnsi="黑体" w:eastAsia="黑体" w:cs="黑体"/>
              <w:bCs w:val="0"/>
              <w:szCs w:val="32"/>
              <w:highlight w:val="none"/>
              <w:lang w:val="en-US" w:eastAsia="zh-CN"/>
            </w:rPr>
            <w:fldChar w:fldCharType="begin"/>
          </w:r>
          <w:r>
            <w:rPr>
              <w:rFonts w:hint="eastAsia" w:ascii="黑体" w:hAnsi="黑体" w:eastAsia="黑体" w:cs="黑体"/>
              <w:bCs w:val="0"/>
              <w:szCs w:val="32"/>
              <w:highlight w:val="none"/>
              <w:lang w:val="en-US" w:eastAsia="zh-CN"/>
            </w:rPr>
            <w:instrText xml:space="preserve"> HYPERLINK \l _Toc28293 </w:instrText>
          </w:r>
          <w:r>
            <w:rPr>
              <w:rFonts w:hint="eastAsia" w:ascii="黑体" w:hAnsi="黑体" w:eastAsia="黑体" w:cs="黑体"/>
              <w:bCs w:val="0"/>
              <w:szCs w:val="32"/>
              <w:highlight w:val="none"/>
              <w:lang w:val="en-US" w:eastAsia="zh-CN"/>
            </w:rPr>
            <w:fldChar w:fldCharType="separate"/>
          </w:r>
          <w:r>
            <w:rPr>
              <w:rFonts w:hint="eastAsia" w:ascii="宋体" w:hAnsi="宋体" w:eastAsia="宋体" w:cs="宋体"/>
              <w:bCs/>
              <w:szCs w:val="21"/>
              <w:highlight w:val="none"/>
              <w:lang w:val="en-US" w:eastAsia="zh-CN"/>
            </w:rPr>
            <w:t>5.4主要设备介绍</w:t>
          </w:r>
          <w:r>
            <w:tab/>
          </w:r>
          <w:r>
            <w:fldChar w:fldCharType="begin"/>
          </w:r>
          <w:r>
            <w:instrText xml:space="preserve"> PAGEREF _Toc28293 \h </w:instrText>
          </w:r>
          <w:r>
            <w:fldChar w:fldCharType="separate"/>
          </w:r>
          <w:r>
            <w:t>31</w:t>
          </w:r>
          <w:r>
            <w:fldChar w:fldCharType="end"/>
          </w:r>
          <w:r>
            <w:rPr>
              <w:rFonts w:hint="eastAsia" w:ascii="黑体" w:hAnsi="黑体" w:eastAsia="黑体" w:cs="黑体"/>
              <w:bCs w:val="0"/>
              <w:szCs w:val="32"/>
              <w:highlight w:val="none"/>
              <w:lang w:val="en-US" w:eastAsia="zh-CN"/>
            </w:rPr>
            <w:fldChar w:fldCharType="end"/>
          </w:r>
        </w:p>
        <w:p w14:paraId="73C62999">
          <w:pPr>
            <w:pStyle w:val="16"/>
            <w:tabs>
              <w:tab w:val="right" w:leader="dot" w:pos="8414"/>
            </w:tabs>
          </w:pPr>
          <w:r>
            <w:rPr>
              <w:rFonts w:hint="eastAsia" w:ascii="黑体" w:hAnsi="黑体" w:eastAsia="黑体" w:cs="黑体"/>
              <w:bCs w:val="0"/>
              <w:szCs w:val="32"/>
              <w:highlight w:val="none"/>
              <w:lang w:val="en-US" w:eastAsia="zh-CN"/>
            </w:rPr>
            <w:fldChar w:fldCharType="begin"/>
          </w:r>
          <w:r>
            <w:rPr>
              <w:rFonts w:hint="eastAsia" w:ascii="黑体" w:hAnsi="黑体" w:eastAsia="黑体" w:cs="黑体"/>
              <w:bCs w:val="0"/>
              <w:szCs w:val="32"/>
              <w:highlight w:val="none"/>
              <w:lang w:val="en-US" w:eastAsia="zh-CN"/>
            </w:rPr>
            <w:instrText xml:space="preserve"> HYPERLINK \l _Toc18716 </w:instrText>
          </w:r>
          <w:r>
            <w:rPr>
              <w:rFonts w:hint="eastAsia" w:ascii="黑体" w:hAnsi="黑体" w:eastAsia="黑体" w:cs="黑体"/>
              <w:bCs w:val="0"/>
              <w:szCs w:val="32"/>
              <w:highlight w:val="none"/>
              <w:lang w:val="en-US" w:eastAsia="zh-CN"/>
            </w:rPr>
            <w:fldChar w:fldCharType="separate"/>
          </w:r>
          <w:r>
            <w:rPr>
              <w:rFonts w:hint="eastAsia" w:ascii="宋体" w:hAnsi="宋体" w:eastAsia="宋体" w:cs="宋体"/>
              <w:bCs/>
              <w:szCs w:val="21"/>
              <w:highlight w:val="none"/>
              <w:lang w:val="en-US" w:eastAsia="zh-CN"/>
            </w:rPr>
            <w:t>5.5项目实施计划</w:t>
          </w:r>
          <w:r>
            <w:tab/>
          </w:r>
          <w:r>
            <w:fldChar w:fldCharType="begin"/>
          </w:r>
          <w:r>
            <w:instrText xml:space="preserve"> PAGEREF _Toc18716 \h </w:instrText>
          </w:r>
          <w:r>
            <w:fldChar w:fldCharType="separate"/>
          </w:r>
          <w:r>
            <w:t>38</w:t>
          </w:r>
          <w:r>
            <w:fldChar w:fldCharType="end"/>
          </w:r>
          <w:r>
            <w:rPr>
              <w:rFonts w:hint="eastAsia" w:ascii="黑体" w:hAnsi="黑体" w:eastAsia="黑体" w:cs="黑体"/>
              <w:bCs w:val="0"/>
              <w:szCs w:val="32"/>
              <w:highlight w:val="none"/>
              <w:lang w:val="en-US" w:eastAsia="zh-CN"/>
            </w:rPr>
            <w:fldChar w:fldCharType="end"/>
          </w:r>
        </w:p>
        <w:p w14:paraId="53852BD9">
          <w:pPr>
            <w:pStyle w:val="16"/>
            <w:tabs>
              <w:tab w:val="right" w:leader="dot" w:pos="8414"/>
            </w:tabs>
          </w:pPr>
          <w:r>
            <w:rPr>
              <w:rFonts w:hint="eastAsia" w:ascii="黑体" w:hAnsi="黑体" w:eastAsia="黑体" w:cs="黑体"/>
              <w:bCs w:val="0"/>
              <w:szCs w:val="32"/>
              <w:highlight w:val="none"/>
              <w:lang w:val="en-US" w:eastAsia="zh-CN"/>
            </w:rPr>
            <w:fldChar w:fldCharType="begin"/>
          </w:r>
          <w:r>
            <w:rPr>
              <w:rFonts w:hint="eastAsia" w:ascii="黑体" w:hAnsi="黑体" w:eastAsia="黑体" w:cs="黑体"/>
              <w:bCs w:val="0"/>
              <w:szCs w:val="32"/>
              <w:highlight w:val="none"/>
              <w:lang w:val="en-US" w:eastAsia="zh-CN"/>
            </w:rPr>
            <w:instrText xml:space="preserve"> HYPERLINK \l _Toc5588 </w:instrText>
          </w:r>
          <w:r>
            <w:rPr>
              <w:rFonts w:hint="eastAsia" w:ascii="黑体" w:hAnsi="黑体" w:eastAsia="黑体" w:cs="黑体"/>
              <w:bCs w:val="0"/>
              <w:szCs w:val="32"/>
              <w:highlight w:val="none"/>
              <w:lang w:val="en-US" w:eastAsia="zh-CN"/>
            </w:rPr>
            <w:fldChar w:fldCharType="separate"/>
          </w:r>
          <w:r>
            <w:rPr>
              <w:rFonts w:hint="eastAsia" w:ascii="宋体" w:hAnsi="宋体" w:eastAsia="宋体" w:cs="宋体"/>
              <w:bCs/>
              <w:szCs w:val="21"/>
              <w:highlight w:val="none"/>
              <w:lang w:val="en-US" w:eastAsia="zh-CN"/>
            </w:rPr>
            <w:t>5.6项目实施技术保障措施</w:t>
          </w:r>
          <w:r>
            <w:tab/>
          </w:r>
          <w:r>
            <w:fldChar w:fldCharType="begin"/>
          </w:r>
          <w:r>
            <w:instrText xml:space="preserve"> PAGEREF _Toc5588 \h </w:instrText>
          </w:r>
          <w:r>
            <w:fldChar w:fldCharType="separate"/>
          </w:r>
          <w:r>
            <w:t>39</w:t>
          </w:r>
          <w:r>
            <w:fldChar w:fldCharType="end"/>
          </w:r>
          <w:r>
            <w:rPr>
              <w:rFonts w:hint="eastAsia" w:ascii="黑体" w:hAnsi="黑体" w:eastAsia="黑体" w:cs="黑体"/>
              <w:bCs w:val="0"/>
              <w:szCs w:val="32"/>
              <w:highlight w:val="none"/>
              <w:lang w:val="en-US" w:eastAsia="zh-CN"/>
            </w:rPr>
            <w:fldChar w:fldCharType="end"/>
          </w:r>
        </w:p>
        <w:p w14:paraId="78B472D5">
          <w:pPr>
            <w:pStyle w:val="15"/>
            <w:tabs>
              <w:tab w:val="right" w:leader="dot" w:pos="8414"/>
            </w:tabs>
          </w:pPr>
          <w:r>
            <w:rPr>
              <w:rFonts w:hint="eastAsia" w:ascii="黑体" w:hAnsi="黑体" w:eastAsia="黑体" w:cs="黑体"/>
              <w:bCs w:val="0"/>
              <w:szCs w:val="32"/>
              <w:highlight w:val="none"/>
              <w:lang w:val="en-US" w:eastAsia="zh-CN"/>
            </w:rPr>
            <w:fldChar w:fldCharType="begin"/>
          </w:r>
          <w:r>
            <w:rPr>
              <w:rFonts w:hint="eastAsia" w:ascii="黑体" w:hAnsi="黑体" w:eastAsia="黑体" w:cs="黑体"/>
              <w:bCs w:val="0"/>
              <w:szCs w:val="32"/>
              <w:highlight w:val="none"/>
              <w:lang w:val="en-US" w:eastAsia="zh-CN"/>
            </w:rPr>
            <w:instrText xml:space="preserve"> HYPERLINK \l _Toc17378 </w:instrText>
          </w:r>
          <w:r>
            <w:rPr>
              <w:rFonts w:hint="eastAsia" w:ascii="黑体" w:hAnsi="黑体" w:eastAsia="黑体" w:cs="黑体"/>
              <w:bCs w:val="0"/>
              <w:szCs w:val="32"/>
              <w:highlight w:val="none"/>
              <w:lang w:val="en-US" w:eastAsia="zh-CN"/>
            </w:rPr>
            <w:fldChar w:fldCharType="separate"/>
          </w:r>
          <w:r>
            <w:rPr>
              <w:rFonts w:hint="eastAsia" w:ascii="黑体" w:hAnsi="黑体" w:eastAsia="黑体" w:cs="黑体"/>
              <w:bCs w:val="0"/>
              <w:szCs w:val="22"/>
              <w:highlight w:val="none"/>
              <w:lang w:val="en-US" w:eastAsia="zh-CN"/>
            </w:rPr>
            <w:t>六、项目投资估算</w:t>
          </w:r>
          <w:r>
            <w:tab/>
          </w:r>
          <w:r>
            <w:fldChar w:fldCharType="begin"/>
          </w:r>
          <w:r>
            <w:instrText xml:space="preserve"> PAGEREF _Toc17378 \h </w:instrText>
          </w:r>
          <w:r>
            <w:fldChar w:fldCharType="separate"/>
          </w:r>
          <w:r>
            <w:t>42</w:t>
          </w:r>
          <w:r>
            <w:fldChar w:fldCharType="end"/>
          </w:r>
          <w:r>
            <w:rPr>
              <w:rFonts w:hint="eastAsia" w:ascii="黑体" w:hAnsi="黑体" w:eastAsia="黑体" w:cs="黑体"/>
              <w:bCs w:val="0"/>
              <w:szCs w:val="32"/>
              <w:highlight w:val="none"/>
              <w:lang w:val="en-US" w:eastAsia="zh-CN"/>
            </w:rPr>
            <w:fldChar w:fldCharType="end"/>
          </w:r>
        </w:p>
        <w:p w14:paraId="7D802D00">
          <w:pPr>
            <w:pStyle w:val="15"/>
            <w:tabs>
              <w:tab w:val="right" w:leader="dot" w:pos="8414"/>
            </w:tabs>
          </w:pPr>
          <w:r>
            <w:rPr>
              <w:rFonts w:hint="eastAsia" w:ascii="黑体" w:hAnsi="黑体" w:eastAsia="黑体" w:cs="黑体"/>
              <w:bCs w:val="0"/>
              <w:szCs w:val="32"/>
              <w:highlight w:val="none"/>
              <w:lang w:val="en-US" w:eastAsia="zh-CN"/>
            </w:rPr>
            <w:fldChar w:fldCharType="begin"/>
          </w:r>
          <w:r>
            <w:rPr>
              <w:rFonts w:hint="eastAsia" w:ascii="黑体" w:hAnsi="黑体" w:eastAsia="黑体" w:cs="黑体"/>
              <w:bCs w:val="0"/>
              <w:szCs w:val="32"/>
              <w:highlight w:val="none"/>
              <w:lang w:val="en-US" w:eastAsia="zh-CN"/>
            </w:rPr>
            <w:instrText xml:space="preserve"> HYPERLINK \l _Toc16395 </w:instrText>
          </w:r>
          <w:r>
            <w:rPr>
              <w:rFonts w:hint="eastAsia" w:ascii="黑体" w:hAnsi="黑体" w:eastAsia="黑体" w:cs="黑体"/>
              <w:bCs w:val="0"/>
              <w:szCs w:val="32"/>
              <w:highlight w:val="none"/>
              <w:lang w:val="en-US" w:eastAsia="zh-CN"/>
            </w:rPr>
            <w:fldChar w:fldCharType="separate"/>
          </w:r>
          <w:r>
            <w:rPr>
              <w:rFonts w:hint="eastAsia" w:ascii="黑体" w:hAnsi="黑体" w:eastAsia="黑体" w:cs="黑体"/>
              <w:bCs w:val="0"/>
              <w:szCs w:val="22"/>
              <w:highlight w:val="none"/>
              <w:lang w:val="en-US" w:eastAsia="zh-CN"/>
            </w:rPr>
            <w:t>七、项目效益分析</w:t>
          </w:r>
          <w:r>
            <w:tab/>
          </w:r>
          <w:r>
            <w:fldChar w:fldCharType="begin"/>
          </w:r>
          <w:r>
            <w:instrText xml:space="preserve"> PAGEREF _Toc16395 \h </w:instrText>
          </w:r>
          <w:r>
            <w:fldChar w:fldCharType="separate"/>
          </w:r>
          <w:r>
            <w:t>42</w:t>
          </w:r>
          <w:r>
            <w:fldChar w:fldCharType="end"/>
          </w:r>
          <w:r>
            <w:rPr>
              <w:rFonts w:hint="eastAsia" w:ascii="黑体" w:hAnsi="黑体" w:eastAsia="黑体" w:cs="黑体"/>
              <w:bCs w:val="0"/>
              <w:szCs w:val="32"/>
              <w:highlight w:val="none"/>
              <w:lang w:val="en-US" w:eastAsia="zh-CN"/>
            </w:rPr>
            <w:fldChar w:fldCharType="end"/>
          </w:r>
        </w:p>
        <w:p w14:paraId="5DEE9BE8">
          <w:pPr>
            <w:keepNext w:val="0"/>
            <w:keepLines w:val="0"/>
            <w:pageBreakBefore w:val="0"/>
            <w:widowControl w:val="0"/>
            <w:shd w:val="clear"/>
            <w:kinsoku/>
            <w:wordWrap/>
            <w:overflowPunct/>
            <w:topLinePunct w:val="0"/>
            <w:autoSpaceDE/>
            <w:autoSpaceDN/>
            <w:bidi w:val="0"/>
            <w:adjustRightInd/>
            <w:snapToGrid/>
            <w:spacing w:line="460" w:lineRule="exact"/>
            <w:textAlignment w:val="auto"/>
            <w:rPr>
              <w:rFonts w:hint="eastAsia" w:ascii="黑体" w:hAnsi="黑体" w:eastAsia="黑体" w:cs="黑体"/>
              <w:b w:val="0"/>
              <w:bCs w:val="0"/>
              <w:sz w:val="32"/>
              <w:szCs w:val="22"/>
              <w:highlight w:val="none"/>
              <w:lang w:val="en-US" w:eastAsia="zh-CN"/>
            </w:rPr>
          </w:pPr>
          <w:r>
            <w:rPr>
              <w:rFonts w:hint="eastAsia" w:ascii="黑体" w:hAnsi="黑体" w:eastAsia="黑体" w:cs="黑体"/>
              <w:bCs w:val="0"/>
              <w:szCs w:val="32"/>
              <w:highlight w:val="none"/>
              <w:lang w:val="en-US" w:eastAsia="zh-CN"/>
            </w:rPr>
            <w:fldChar w:fldCharType="end"/>
          </w:r>
        </w:p>
      </w:sdtContent>
    </w:sdt>
    <w:p w14:paraId="087D8BAB">
      <w:pPr>
        <w:pStyle w:val="8"/>
        <w:keepNext w:val="0"/>
        <w:keepLines w:val="0"/>
        <w:pageBreakBefore w:val="0"/>
        <w:widowControl w:val="0"/>
        <w:shd w:val="clear"/>
        <w:kinsoku/>
        <w:wordWrap/>
        <w:overflowPunct/>
        <w:topLinePunct w:val="0"/>
        <w:autoSpaceDE/>
        <w:autoSpaceDN/>
        <w:bidi w:val="0"/>
        <w:adjustRightInd/>
        <w:snapToGrid/>
        <w:textAlignment w:val="auto"/>
        <w:outlineLvl w:val="9"/>
        <w:rPr>
          <w:rFonts w:hint="eastAsia" w:ascii="黑体" w:hAnsi="黑体" w:eastAsia="黑体" w:cs="黑体"/>
          <w:b w:val="0"/>
          <w:bCs w:val="0"/>
          <w:sz w:val="32"/>
          <w:szCs w:val="22"/>
          <w:highlight w:val="none"/>
          <w:lang w:val="en-US" w:eastAsia="zh-CN"/>
        </w:rPr>
        <w:sectPr>
          <w:pgSz w:w="11906" w:h="16838"/>
          <w:pgMar w:top="1440" w:right="1746" w:bottom="1440" w:left="1746" w:header="851" w:footer="992" w:gutter="0"/>
          <w:cols w:space="425" w:num="1"/>
          <w:docGrid w:type="lines" w:linePitch="312" w:charSpace="0"/>
        </w:sectPr>
      </w:pPr>
    </w:p>
    <w:p w14:paraId="7EAD0950">
      <w:pPr>
        <w:pStyle w:val="8"/>
        <w:keepNext w:val="0"/>
        <w:keepLines w:val="0"/>
        <w:pageBreakBefore w:val="0"/>
        <w:widowControl w:val="0"/>
        <w:shd w:val="clear"/>
        <w:kinsoku/>
        <w:wordWrap/>
        <w:overflowPunct/>
        <w:topLinePunct w:val="0"/>
        <w:autoSpaceDE/>
        <w:autoSpaceDN/>
        <w:bidi w:val="0"/>
        <w:adjustRightInd/>
        <w:snapToGrid/>
        <w:textAlignment w:val="auto"/>
        <w:outlineLvl w:val="0"/>
        <w:rPr>
          <w:rFonts w:hint="eastAsia" w:ascii="黑体" w:hAnsi="黑体" w:eastAsia="黑体" w:cs="黑体"/>
          <w:b w:val="0"/>
          <w:bCs w:val="0"/>
          <w:sz w:val="32"/>
          <w:szCs w:val="22"/>
          <w:highlight w:val="none"/>
          <w:lang w:val="en-US" w:eastAsia="zh-CN"/>
        </w:rPr>
      </w:pPr>
      <w:bookmarkStart w:id="4" w:name="_Toc10310"/>
      <w:r>
        <w:rPr>
          <w:rFonts w:hint="eastAsia" w:ascii="黑体" w:hAnsi="黑体" w:eastAsia="黑体" w:cs="黑体"/>
          <w:b w:val="0"/>
          <w:bCs w:val="0"/>
          <w:sz w:val="32"/>
          <w:szCs w:val="22"/>
          <w:highlight w:val="none"/>
          <w:lang w:val="en-US" w:eastAsia="zh-CN"/>
        </w:rPr>
        <w:t>一、项目背景</w:t>
      </w:r>
      <w:bookmarkEnd w:id="4"/>
    </w:p>
    <w:p w14:paraId="632626BC">
      <w:pPr>
        <w:pStyle w:val="8"/>
        <w:shd w:val="clear"/>
        <w:rPr>
          <w:rFonts w:hint="default" w:ascii="Times New Roman" w:hAnsi="Times New Roman" w:cs="Times New Roman"/>
          <w:sz w:val="28"/>
          <w:szCs w:val="21"/>
          <w:highlight w:val="none"/>
          <w:lang w:val="en-US" w:eastAsia="zh-CN"/>
        </w:rPr>
      </w:pPr>
      <w:r>
        <w:rPr>
          <w:rFonts w:hint="eastAsia"/>
          <w:sz w:val="28"/>
          <w:szCs w:val="21"/>
          <w:highlight w:val="none"/>
          <w:lang w:val="en-US" w:eastAsia="zh-CN"/>
        </w:rPr>
        <w:t>为贯彻习近平生态文明思想，全面贯彻落实党的二十大精神和全国生态环境保护大会精神，坚持稳中求进工作总基调，有效统筹经济平稳运行、民生保障和大气污染防治工作</w:t>
      </w:r>
      <w:r>
        <w:rPr>
          <w:rFonts w:hint="eastAsia" w:ascii="Times New Roman" w:hAnsi="Times New Roman" w:cs="Times New Roman"/>
          <w:sz w:val="28"/>
          <w:szCs w:val="21"/>
          <w:highlight w:val="none"/>
          <w:lang w:val="en-US" w:eastAsia="zh-CN"/>
        </w:rPr>
        <w:t>，根据《关于优化生态环境保护执法方式提高执法效能的指导意见》、《京津冀及周边地区、汾渭平原 2023-2024 年秋冬季大气污染综合治理攻坚行动方案》、《空气质量持续改善行动计划》等文件要求，持</w:t>
      </w:r>
      <w:r>
        <w:rPr>
          <w:rFonts w:hint="eastAsia"/>
          <w:sz w:val="28"/>
          <w:szCs w:val="21"/>
          <w:highlight w:val="none"/>
          <w:lang w:val="en-US" w:eastAsia="zh-CN"/>
        </w:rPr>
        <w:t>续开展秋冬季大气污染综合治理攻坚行动，强化环境监控监管，突出精准治污、科学治污、依法治污，保持力度、延伸深度、拓展广度，巩固拓展我市大气污染防治工作成效，通过</w:t>
      </w:r>
      <w:r>
        <w:rPr>
          <w:rFonts w:hint="eastAsia" w:ascii="Times New Roman" w:hAnsi="Times New Roman" w:cs="Times New Roman"/>
          <w:sz w:val="28"/>
          <w:szCs w:val="21"/>
          <w:highlight w:val="none"/>
          <w:lang w:val="en-US" w:eastAsia="zh-CN"/>
        </w:rPr>
        <w:t>推行全流程、全过程监控监管的方式，实现在线检查、精准检查、24小时检查的数字化管理的效果与目标。</w:t>
      </w:r>
    </w:p>
    <w:p w14:paraId="2CBC6DE1">
      <w:pPr>
        <w:pStyle w:val="8"/>
        <w:shd w:val="clear"/>
        <w:rPr>
          <w:rFonts w:hint="default"/>
          <w:sz w:val="28"/>
          <w:szCs w:val="21"/>
          <w:highlight w:val="none"/>
          <w:lang w:val="en-US" w:eastAsia="zh-CN"/>
        </w:rPr>
      </w:pPr>
      <w:r>
        <w:rPr>
          <w:rFonts w:hint="eastAsia"/>
          <w:sz w:val="28"/>
          <w:szCs w:val="21"/>
          <w:highlight w:val="none"/>
          <w:lang w:val="en-US" w:eastAsia="zh-CN"/>
        </w:rPr>
        <w:t>当前，我市涉VOCs企业众多，有着面广、排污量大、污染物种类多的特点，是我市污染物贡献较大的区域之一；为保障严格监管治理设施运行和应急预案管控落实情况，进一步强化生产设施设备的工况监控监管以及催化燃烧、吸附过滤、液态净化等治理设施设备的工况监控监管，实现工业源的精细化管控，亟需增加工况监控监管。</w:t>
      </w:r>
    </w:p>
    <w:p w14:paraId="2E354E40">
      <w:pPr>
        <w:pStyle w:val="8"/>
        <w:shd w:val="clear"/>
        <w:rPr>
          <w:rFonts w:hint="default"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同时，在面对生态环境工作的新形势、新要求、新挑战客观条件，达成空气质量长效改善</w:t>
      </w:r>
      <w:r>
        <w:rPr>
          <w:rFonts w:hint="eastAsia" w:cs="Times New Roman"/>
          <w:sz w:val="28"/>
          <w:szCs w:val="21"/>
          <w:highlight w:val="none"/>
          <w:lang w:val="en-US" w:eastAsia="zh-CN"/>
        </w:rPr>
        <w:t>，需推动</w:t>
      </w:r>
      <w:r>
        <w:rPr>
          <w:rFonts w:hint="eastAsia" w:ascii="Times New Roman" w:hAnsi="Times New Roman" w:cs="Times New Roman"/>
          <w:sz w:val="28"/>
          <w:szCs w:val="21"/>
          <w:highlight w:val="none"/>
          <w:lang w:val="en-US" w:eastAsia="zh-CN"/>
        </w:rPr>
        <w:t>精准科学依法治污</w:t>
      </w:r>
      <w:r>
        <w:rPr>
          <w:rFonts w:hint="eastAsia" w:cs="Times New Roman"/>
          <w:sz w:val="28"/>
          <w:szCs w:val="21"/>
          <w:highlight w:val="none"/>
          <w:lang w:val="en-US" w:eastAsia="zh-CN"/>
        </w:rPr>
        <w:t>能力提升，</w:t>
      </w:r>
      <w:r>
        <w:rPr>
          <w:rFonts w:hint="eastAsia" w:ascii="Times New Roman" w:hAnsi="Times New Roman" w:cs="Times New Roman"/>
          <w:sz w:val="28"/>
          <w:szCs w:val="21"/>
          <w:highlight w:val="none"/>
          <w:lang w:val="en-US" w:eastAsia="zh-CN"/>
        </w:rPr>
        <w:t>更要寓服务发展于环境监管执法之中。依据</w:t>
      </w:r>
      <w:r>
        <w:rPr>
          <w:rFonts w:hint="eastAsia" w:cs="Times New Roman"/>
          <w:sz w:val="28"/>
          <w:szCs w:val="21"/>
          <w:highlight w:val="none"/>
          <w:lang w:val="en-US" w:eastAsia="zh-CN"/>
        </w:rPr>
        <w:t>河北省生态环境厅</w:t>
      </w:r>
      <w:r>
        <w:rPr>
          <w:rFonts w:hint="eastAsia" w:ascii="Times New Roman" w:hAnsi="Times New Roman" w:cs="Times New Roman"/>
          <w:sz w:val="28"/>
          <w:szCs w:val="21"/>
          <w:highlight w:val="none"/>
          <w:lang w:val="en-US" w:eastAsia="zh-CN"/>
        </w:rPr>
        <w:t>关于印发《深化非现场监管执法改革工作的 实施方案》的通知提出的“</w:t>
      </w:r>
      <w:r>
        <w:rPr>
          <w:sz w:val="28"/>
          <w:szCs w:val="28"/>
          <w:highlight w:val="none"/>
        </w:rPr>
        <w:t>针对各行业、各类企业生产工艺和污染物排放特征，实现污染物排放自动监测监控全方位、全过程、全覆盖</w:t>
      </w:r>
      <w:r>
        <w:rPr>
          <w:rFonts w:hint="eastAsia" w:ascii="Times New Roman" w:hAnsi="Times New Roman" w:cs="Times New Roman"/>
          <w:sz w:val="28"/>
          <w:szCs w:val="21"/>
          <w:highlight w:val="none"/>
          <w:lang w:val="en-US" w:eastAsia="zh-CN"/>
        </w:rPr>
        <w:t>”以及“</w:t>
      </w:r>
      <w:r>
        <w:rPr>
          <w:sz w:val="28"/>
          <w:szCs w:val="28"/>
          <w:highlight w:val="none"/>
        </w:rPr>
        <w:t>开发自动监测监控和视频数据识别、分析、评估、预警、溯源等功能，建成全要素监测、全过程监控、全覆盖管理的智慧化环保管理平台</w:t>
      </w:r>
      <w:r>
        <w:rPr>
          <w:rFonts w:hint="eastAsia" w:ascii="Times New Roman" w:hAnsi="Times New Roman" w:cs="Times New Roman"/>
          <w:sz w:val="28"/>
          <w:szCs w:val="21"/>
          <w:highlight w:val="none"/>
          <w:lang w:val="en-US" w:eastAsia="zh-CN"/>
        </w:rPr>
        <w:t>”要求，为优化生态环境的监管模式，充分利用现代信息化技术手段，进行远程监管，数据质量远程核实，实现非现场监管，做到“无事不扰、无据不查”，开展“</w:t>
      </w:r>
      <w:r>
        <w:rPr>
          <w:rFonts w:hint="eastAsia" w:cs="Times New Roman"/>
          <w:sz w:val="28"/>
          <w:szCs w:val="21"/>
          <w:highlight w:val="none"/>
          <w:lang w:val="en-US" w:eastAsia="zh-CN"/>
        </w:rPr>
        <w:t>保定市污染物排放智能管控可视化系统项目</w:t>
      </w:r>
      <w:r>
        <w:rPr>
          <w:rFonts w:hint="eastAsia" w:ascii="Times New Roman" w:hAnsi="Times New Roman" w:cs="Times New Roman"/>
          <w:sz w:val="28"/>
          <w:szCs w:val="21"/>
          <w:highlight w:val="none"/>
          <w:lang w:val="en-US" w:eastAsia="zh-CN"/>
        </w:rPr>
        <w:t>”</w:t>
      </w:r>
      <w:r>
        <w:rPr>
          <w:rFonts w:hint="eastAsia" w:cs="Times New Roman"/>
          <w:sz w:val="28"/>
          <w:szCs w:val="21"/>
          <w:highlight w:val="none"/>
          <w:lang w:val="en-US" w:eastAsia="zh-CN"/>
        </w:rPr>
        <w:t>十分重要</w:t>
      </w:r>
      <w:r>
        <w:rPr>
          <w:rFonts w:hint="eastAsia" w:ascii="Times New Roman" w:hAnsi="Times New Roman" w:cs="Times New Roman"/>
          <w:sz w:val="28"/>
          <w:szCs w:val="21"/>
          <w:highlight w:val="none"/>
          <w:lang w:val="en-US" w:eastAsia="zh-CN"/>
        </w:rPr>
        <w:t>。</w:t>
      </w:r>
    </w:p>
    <w:p w14:paraId="13966D9A">
      <w:pPr>
        <w:pStyle w:val="8"/>
        <w:keepNext w:val="0"/>
        <w:keepLines w:val="0"/>
        <w:pageBreakBefore w:val="0"/>
        <w:widowControl w:val="0"/>
        <w:shd w:val="clear"/>
        <w:kinsoku/>
        <w:wordWrap/>
        <w:overflowPunct/>
        <w:topLinePunct w:val="0"/>
        <w:autoSpaceDE/>
        <w:autoSpaceDN/>
        <w:bidi w:val="0"/>
        <w:adjustRightInd/>
        <w:snapToGrid/>
        <w:textAlignment w:val="auto"/>
        <w:outlineLvl w:val="0"/>
        <w:rPr>
          <w:rFonts w:hint="default" w:ascii="黑体" w:hAnsi="黑体" w:eastAsia="黑体" w:cs="黑体"/>
          <w:b w:val="0"/>
          <w:bCs w:val="0"/>
          <w:sz w:val="32"/>
          <w:szCs w:val="22"/>
          <w:highlight w:val="none"/>
          <w:lang w:val="en-US" w:eastAsia="zh-CN"/>
        </w:rPr>
      </w:pPr>
      <w:bookmarkStart w:id="5" w:name="_Toc3683"/>
      <w:r>
        <w:rPr>
          <w:rFonts w:hint="eastAsia" w:ascii="黑体" w:hAnsi="黑体" w:eastAsia="黑体" w:cs="黑体"/>
          <w:b w:val="0"/>
          <w:bCs w:val="0"/>
          <w:sz w:val="32"/>
          <w:szCs w:val="22"/>
          <w:highlight w:val="none"/>
          <w:lang w:val="en-US" w:eastAsia="zh-CN"/>
        </w:rPr>
        <w:t>二、建设依据</w:t>
      </w:r>
      <w:bookmarkEnd w:id="5"/>
    </w:p>
    <w:p w14:paraId="0F2A2694">
      <w:pPr>
        <w:pStyle w:val="8"/>
        <w:keepNext w:val="0"/>
        <w:keepLines w:val="0"/>
        <w:pageBreakBefore w:val="0"/>
        <w:widowControl w:val="0"/>
        <w:shd w:val="clear"/>
        <w:kinsoku/>
        <w:wordWrap/>
        <w:overflowPunct/>
        <w:topLinePunct w:val="0"/>
        <w:autoSpaceDE/>
        <w:autoSpaceDN/>
        <w:bidi w:val="0"/>
        <w:adjustRightInd/>
        <w:snapToGrid/>
        <w:textAlignment w:val="auto"/>
        <w:outlineLvl w:val="1"/>
        <w:rPr>
          <w:rFonts w:hint="eastAsia" w:ascii="宋体" w:hAnsi="宋体" w:eastAsia="宋体" w:cs="宋体"/>
          <w:b/>
          <w:bCs/>
          <w:sz w:val="28"/>
          <w:szCs w:val="21"/>
          <w:highlight w:val="none"/>
          <w:lang w:val="en-US" w:eastAsia="zh-CN"/>
        </w:rPr>
      </w:pPr>
      <w:bookmarkStart w:id="6" w:name="_Toc19119"/>
      <w:r>
        <w:rPr>
          <w:rFonts w:hint="eastAsia" w:ascii="宋体" w:hAnsi="宋体" w:eastAsia="宋体" w:cs="宋体"/>
          <w:b/>
          <w:bCs/>
          <w:sz w:val="28"/>
          <w:szCs w:val="21"/>
          <w:highlight w:val="none"/>
          <w:lang w:val="en-US" w:eastAsia="zh-CN"/>
        </w:rPr>
        <w:t>2.1政策依据</w:t>
      </w:r>
      <w:bookmarkEnd w:id="6"/>
    </w:p>
    <w:p w14:paraId="092F4A5C">
      <w:pPr>
        <w:pStyle w:val="8"/>
        <w:shd w:val="clear"/>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《关于优化生态环境保护执法方式提高执法效能的指导意见》</w:t>
      </w:r>
    </w:p>
    <w:p w14:paraId="5CD03AB2">
      <w:pPr>
        <w:pStyle w:val="8"/>
        <w:shd w:val="clear"/>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《京津冀及周边地区、汾渭平原2023-2024年秋冬季大气污染综合治理攻坚行动方案》</w:t>
      </w:r>
    </w:p>
    <w:p w14:paraId="4E27C06B">
      <w:pPr>
        <w:pStyle w:val="8"/>
        <w:shd w:val="clear"/>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《空气质量持续改善行动计划》</w:t>
      </w:r>
    </w:p>
    <w:p w14:paraId="3D49C992">
      <w:pPr>
        <w:pStyle w:val="8"/>
        <w:shd w:val="clear"/>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《河北省生态环境厅关于非现场监督执法改革意见》</w:t>
      </w:r>
    </w:p>
    <w:p w14:paraId="4302E290">
      <w:pPr>
        <w:pStyle w:val="8"/>
        <w:shd w:val="clear"/>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《关于印发〈河北省重点行业大气污染综合治理方案〉的通知》</w:t>
      </w:r>
    </w:p>
    <w:p w14:paraId="333EE935">
      <w:pPr>
        <w:pStyle w:val="8"/>
        <w:shd w:val="clear"/>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《关于健全污染源自动监控体系有关工作的通知》</w:t>
      </w:r>
    </w:p>
    <w:p w14:paraId="51D942D9">
      <w:pPr>
        <w:pStyle w:val="8"/>
        <w:shd w:val="clear"/>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《中华人民共和国大气污染防治法》</w:t>
      </w:r>
    </w:p>
    <w:p w14:paraId="02464E2D">
      <w:pPr>
        <w:pStyle w:val="8"/>
        <w:shd w:val="clear"/>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《重污染天气重点行业绩效分级及减排措施》</w:t>
      </w:r>
    </w:p>
    <w:p w14:paraId="1F2E511A">
      <w:pPr>
        <w:pStyle w:val="8"/>
        <w:shd w:val="clear"/>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《重污染天气消除攻坚行动方案》</w:t>
      </w:r>
    </w:p>
    <w:p w14:paraId="32D5F07B">
      <w:pPr>
        <w:pStyle w:val="8"/>
        <w:shd w:val="clear"/>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《低效失效大气污染治理设施排查整治工作方案》</w:t>
      </w:r>
    </w:p>
    <w:p w14:paraId="449A7680">
      <w:pPr>
        <w:pStyle w:val="8"/>
        <w:shd w:val="clear"/>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《重点行业挥发性有机物综合治理方案》</w:t>
      </w:r>
    </w:p>
    <w:p w14:paraId="42575FC1">
      <w:pPr>
        <w:pStyle w:val="8"/>
        <w:keepNext w:val="0"/>
        <w:keepLines w:val="0"/>
        <w:pageBreakBefore w:val="0"/>
        <w:widowControl w:val="0"/>
        <w:shd w:val="clear"/>
        <w:kinsoku/>
        <w:wordWrap/>
        <w:overflowPunct/>
        <w:topLinePunct w:val="0"/>
        <w:autoSpaceDE/>
        <w:autoSpaceDN/>
        <w:bidi w:val="0"/>
        <w:adjustRightInd/>
        <w:snapToGrid/>
        <w:textAlignment w:val="auto"/>
        <w:outlineLvl w:val="1"/>
        <w:rPr>
          <w:rFonts w:hint="default" w:ascii="宋体" w:hAnsi="宋体" w:eastAsia="宋体" w:cs="宋体"/>
          <w:b/>
          <w:bCs/>
          <w:sz w:val="28"/>
          <w:szCs w:val="21"/>
          <w:highlight w:val="none"/>
          <w:lang w:val="en-US" w:eastAsia="zh-CN"/>
        </w:rPr>
      </w:pPr>
      <w:bookmarkStart w:id="7" w:name="_Toc16978"/>
      <w:r>
        <w:rPr>
          <w:rFonts w:hint="eastAsia" w:ascii="宋体" w:hAnsi="宋体" w:eastAsia="宋体" w:cs="宋体"/>
          <w:b/>
          <w:bCs/>
          <w:sz w:val="28"/>
          <w:szCs w:val="21"/>
          <w:highlight w:val="none"/>
          <w:lang w:val="en-US" w:eastAsia="zh-CN"/>
        </w:rPr>
        <w:t>2.2技术依据</w:t>
      </w:r>
      <w:bookmarkEnd w:id="7"/>
    </w:p>
    <w:p w14:paraId="11C4C869">
      <w:pPr>
        <w:pStyle w:val="8"/>
        <w:shd w:val="clear"/>
        <w:rPr>
          <w:rFonts w:hint="eastAsia"/>
          <w:sz w:val="28"/>
          <w:szCs w:val="21"/>
          <w:highlight w:val="none"/>
          <w:lang w:val="en-US" w:eastAsia="zh-CN"/>
        </w:rPr>
      </w:pPr>
      <w:r>
        <w:rPr>
          <w:rFonts w:hint="eastAsia"/>
          <w:sz w:val="28"/>
          <w:szCs w:val="21"/>
          <w:highlight w:val="none"/>
          <w:lang w:val="en-US" w:eastAsia="zh-CN"/>
        </w:rPr>
        <w:t>GB 37822 挥发性有机物无组织排放控制标准</w:t>
      </w:r>
    </w:p>
    <w:p w14:paraId="2134A9C2">
      <w:pPr>
        <w:pStyle w:val="8"/>
        <w:shd w:val="clear"/>
        <w:rPr>
          <w:rFonts w:hint="eastAsia"/>
          <w:sz w:val="28"/>
          <w:szCs w:val="21"/>
          <w:highlight w:val="none"/>
          <w:lang w:val="en-US" w:eastAsia="zh-CN"/>
        </w:rPr>
      </w:pPr>
      <w:r>
        <w:rPr>
          <w:rFonts w:hint="eastAsia"/>
          <w:sz w:val="28"/>
          <w:szCs w:val="21"/>
          <w:highlight w:val="none"/>
          <w:lang w:val="en-US" w:eastAsia="zh-CN"/>
        </w:rPr>
        <w:t>HJ 212 污染物在线监控（监测）系统数据传输标准</w:t>
      </w:r>
    </w:p>
    <w:p w14:paraId="5A488F39">
      <w:pPr>
        <w:pStyle w:val="8"/>
        <w:shd w:val="clear"/>
        <w:rPr>
          <w:rFonts w:hint="eastAsia"/>
          <w:sz w:val="28"/>
          <w:szCs w:val="21"/>
          <w:highlight w:val="none"/>
          <w:lang w:val="en-GB" w:eastAsia="zh-CN"/>
        </w:rPr>
      </w:pPr>
      <w:r>
        <w:rPr>
          <w:rFonts w:hint="eastAsia"/>
          <w:sz w:val="28"/>
          <w:szCs w:val="21"/>
          <w:highlight w:val="none"/>
          <w:lang w:val="en-GB" w:eastAsia="zh-CN"/>
        </w:rPr>
        <w:t>HJ819</w:t>
      </w:r>
      <w:r>
        <w:rPr>
          <w:rFonts w:hint="eastAsia"/>
          <w:sz w:val="28"/>
          <w:szCs w:val="21"/>
          <w:highlight w:val="none"/>
          <w:lang w:val="en-US" w:eastAsia="zh-CN"/>
        </w:rPr>
        <w:t xml:space="preserve"> </w:t>
      </w:r>
      <w:r>
        <w:rPr>
          <w:rFonts w:hint="eastAsia"/>
          <w:sz w:val="28"/>
          <w:szCs w:val="21"/>
          <w:highlight w:val="none"/>
          <w:lang w:val="en-GB" w:eastAsia="zh-CN"/>
        </w:rPr>
        <w:t>排污单位自行监测技术指南总则</w:t>
      </w:r>
    </w:p>
    <w:p w14:paraId="6A9E40BC">
      <w:pPr>
        <w:pStyle w:val="8"/>
        <w:shd w:val="clear"/>
        <w:rPr>
          <w:rFonts w:hint="eastAsia"/>
          <w:sz w:val="28"/>
          <w:szCs w:val="21"/>
          <w:highlight w:val="none"/>
          <w:lang w:val="en-GB" w:eastAsia="zh-CN"/>
        </w:rPr>
      </w:pPr>
      <w:r>
        <w:rPr>
          <w:rFonts w:hint="eastAsia"/>
          <w:sz w:val="28"/>
          <w:szCs w:val="21"/>
          <w:highlight w:val="none"/>
          <w:lang w:val="en-GB" w:eastAsia="zh-CN"/>
        </w:rPr>
        <w:t>HJ944-2018《排污单位环境管理台账及排污许可证执行报告技术规范 总则》</w:t>
      </w:r>
    </w:p>
    <w:p w14:paraId="34B53048">
      <w:pPr>
        <w:pStyle w:val="8"/>
        <w:shd w:val="clear"/>
        <w:rPr>
          <w:rFonts w:hint="eastAsia" w:ascii="Times New Roman" w:hAnsi="Times New Roman" w:cs="Times New Roman"/>
          <w:sz w:val="28"/>
          <w:szCs w:val="21"/>
          <w:highlight w:val="none"/>
          <w:lang w:val="en-GB" w:eastAsia="zh-CN"/>
        </w:rPr>
      </w:pPr>
      <w:r>
        <w:rPr>
          <w:rFonts w:hint="eastAsia" w:ascii="Times New Roman" w:hAnsi="Times New Roman" w:eastAsia="仿宋" w:cs="Times New Roman"/>
          <w:b w:val="0"/>
          <w:bCs w:val="0"/>
          <w:kern w:val="2"/>
          <w:sz w:val="28"/>
          <w:szCs w:val="21"/>
          <w:highlight w:val="none"/>
          <w:lang w:val="en-GB" w:eastAsia="zh-CN" w:bidi="ar-SA"/>
        </w:rPr>
        <w:t>《污染源排放过程（工况）监控技术指南》</w:t>
      </w:r>
    </w:p>
    <w:p w14:paraId="67291E47">
      <w:pPr>
        <w:pStyle w:val="8"/>
        <w:shd w:val="clear"/>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《污染源自动监测监控设备安装标准》</w:t>
      </w:r>
    </w:p>
    <w:p w14:paraId="7952705B">
      <w:pPr>
        <w:pStyle w:val="8"/>
        <w:shd w:val="clear"/>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《吸附法工业有机废气治理工程技术规范》</w:t>
      </w:r>
    </w:p>
    <w:p w14:paraId="2687FC07">
      <w:pPr>
        <w:pStyle w:val="8"/>
        <w:keepNext w:val="0"/>
        <w:keepLines w:val="0"/>
        <w:pageBreakBefore w:val="0"/>
        <w:widowControl w:val="0"/>
        <w:shd w:val="clear"/>
        <w:kinsoku/>
        <w:wordWrap/>
        <w:overflowPunct/>
        <w:topLinePunct w:val="0"/>
        <w:autoSpaceDE/>
        <w:autoSpaceDN/>
        <w:bidi w:val="0"/>
        <w:adjustRightInd/>
        <w:snapToGrid/>
        <w:textAlignment w:val="auto"/>
        <w:outlineLvl w:val="0"/>
        <w:rPr>
          <w:rFonts w:hint="eastAsia" w:ascii="黑体" w:hAnsi="黑体" w:eastAsia="黑体" w:cs="黑体"/>
          <w:b w:val="0"/>
          <w:bCs w:val="0"/>
          <w:sz w:val="32"/>
          <w:szCs w:val="22"/>
          <w:highlight w:val="none"/>
          <w:lang w:val="en-US" w:eastAsia="zh-CN"/>
        </w:rPr>
      </w:pPr>
      <w:bookmarkStart w:id="8" w:name="_Toc11399"/>
      <w:bookmarkStart w:id="9" w:name="_Toc23623"/>
      <w:r>
        <w:rPr>
          <w:rFonts w:hint="eastAsia" w:ascii="黑体" w:hAnsi="黑体" w:eastAsia="黑体" w:cs="黑体"/>
          <w:b w:val="0"/>
          <w:bCs w:val="0"/>
          <w:sz w:val="32"/>
          <w:szCs w:val="22"/>
          <w:highlight w:val="none"/>
          <w:lang w:val="en-US" w:eastAsia="zh-CN"/>
        </w:rPr>
        <w:t>三、现状分析</w:t>
      </w:r>
      <w:bookmarkEnd w:id="8"/>
      <w:bookmarkEnd w:id="9"/>
    </w:p>
    <w:p w14:paraId="117A2144">
      <w:pPr>
        <w:pStyle w:val="8"/>
        <w:keepNext w:val="0"/>
        <w:keepLines w:val="0"/>
        <w:pageBreakBefore w:val="0"/>
        <w:widowControl w:val="0"/>
        <w:shd w:val="clear"/>
        <w:kinsoku/>
        <w:wordWrap/>
        <w:overflowPunct/>
        <w:topLinePunct w:val="0"/>
        <w:autoSpaceDE/>
        <w:autoSpaceDN/>
        <w:bidi w:val="0"/>
        <w:adjustRightInd/>
        <w:snapToGrid/>
        <w:textAlignment w:val="auto"/>
        <w:outlineLvl w:val="1"/>
        <w:rPr>
          <w:rFonts w:hint="default" w:ascii="宋体" w:hAnsi="宋体" w:eastAsia="宋体" w:cs="宋体"/>
          <w:b/>
          <w:bCs/>
          <w:sz w:val="28"/>
          <w:szCs w:val="21"/>
          <w:highlight w:val="none"/>
          <w:lang w:val="en-US" w:eastAsia="zh-CN"/>
        </w:rPr>
      </w:pPr>
      <w:bookmarkStart w:id="10" w:name="_Toc13948"/>
      <w:bookmarkStart w:id="11" w:name="_Toc806"/>
      <w:r>
        <w:rPr>
          <w:rFonts w:hint="eastAsia" w:ascii="宋体" w:hAnsi="宋体" w:eastAsia="宋体" w:cs="宋体"/>
          <w:b/>
          <w:bCs/>
          <w:sz w:val="28"/>
          <w:szCs w:val="21"/>
          <w:highlight w:val="none"/>
          <w:lang w:val="en-US" w:eastAsia="zh-CN"/>
        </w:rPr>
        <w:t>3.1工业源VOCs排放是我市臭氧等污染物主要来源之一</w:t>
      </w:r>
      <w:bookmarkEnd w:id="10"/>
    </w:p>
    <w:p w14:paraId="729E0E66">
      <w:pPr>
        <w:pStyle w:val="8"/>
        <w:keepNext w:val="0"/>
        <w:keepLines w:val="0"/>
        <w:pageBreakBefore w:val="0"/>
        <w:shd w:val="clear"/>
        <w:kinsoku/>
        <w:wordWrap/>
        <w:overflowPunct/>
        <w:topLinePunct w:val="0"/>
        <w:autoSpaceDE/>
        <w:autoSpaceDN/>
        <w:bidi w:val="0"/>
        <w:adjustRightInd/>
        <w:snapToGrid/>
        <w:spacing w:line="360" w:lineRule="auto"/>
        <w:ind w:left="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臭氧污染的主要前体物是</w:t>
      </w:r>
      <w:r>
        <w:rPr>
          <w:rFonts w:hint="eastAsia" w:ascii="仿宋" w:hAnsi="仿宋" w:cs="仿宋"/>
          <w:color w:val="auto"/>
          <w:sz w:val="28"/>
          <w:szCs w:val="28"/>
          <w:highlight w:val="none"/>
          <w:lang w:val="en-US" w:eastAsia="zh-CN"/>
        </w:rPr>
        <w:t>VOCs</w:t>
      </w:r>
      <w:r>
        <w:rPr>
          <w:rFonts w:hint="eastAsia" w:ascii="仿宋" w:hAnsi="仿宋" w:eastAsia="仿宋" w:cs="仿宋"/>
          <w:color w:val="auto"/>
          <w:sz w:val="28"/>
          <w:szCs w:val="28"/>
          <w:highlight w:val="none"/>
          <w:lang w:val="en-US" w:eastAsia="zh-CN"/>
        </w:rPr>
        <w:t>和氮氧化物。我市目前臭氧污染属于</w:t>
      </w:r>
      <w:r>
        <w:rPr>
          <w:rFonts w:hint="eastAsia" w:ascii="仿宋" w:hAnsi="仿宋" w:cs="仿宋"/>
          <w:color w:val="auto"/>
          <w:sz w:val="28"/>
          <w:szCs w:val="28"/>
          <w:highlight w:val="none"/>
          <w:lang w:val="en-US" w:eastAsia="zh-CN"/>
        </w:rPr>
        <w:t>VOCs</w:t>
      </w:r>
      <w:r>
        <w:rPr>
          <w:rFonts w:hint="eastAsia" w:ascii="仿宋" w:hAnsi="仿宋" w:eastAsia="仿宋" w:cs="仿宋"/>
          <w:color w:val="auto"/>
          <w:sz w:val="28"/>
          <w:szCs w:val="28"/>
          <w:highlight w:val="none"/>
          <w:lang w:val="en-US" w:eastAsia="zh-CN"/>
        </w:rPr>
        <w:t>主导型。</w:t>
      </w:r>
      <w:r>
        <w:rPr>
          <w:rFonts w:hint="eastAsia" w:ascii="仿宋" w:hAnsi="仿宋" w:cs="仿宋"/>
          <w:color w:val="auto"/>
          <w:sz w:val="28"/>
          <w:szCs w:val="28"/>
          <w:highlight w:val="none"/>
          <w:lang w:val="en-US" w:eastAsia="zh-CN"/>
        </w:rPr>
        <w:t>塑料、橡胶</w:t>
      </w:r>
      <w:r>
        <w:rPr>
          <w:rFonts w:hint="eastAsia" w:ascii="仿宋" w:hAnsi="仿宋" w:eastAsia="仿宋" w:cs="仿宋"/>
          <w:color w:val="auto"/>
          <w:sz w:val="28"/>
          <w:szCs w:val="28"/>
          <w:highlight w:val="none"/>
          <w:lang w:val="en-US" w:eastAsia="zh-CN"/>
        </w:rPr>
        <w:t>、涂装、化工等行业使用的溶剂排放出的芳香烃等</w:t>
      </w:r>
      <w:r>
        <w:rPr>
          <w:rFonts w:hint="eastAsia" w:ascii="仿宋" w:hAnsi="仿宋" w:cs="仿宋"/>
          <w:color w:val="auto"/>
          <w:sz w:val="28"/>
          <w:szCs w:val="28"/>
          <w:highlight w:val="none"/>
          <w:lang w:val="en-US" w:eastAsia="zh-CN"/>
        </w:rPr>
        <w:t>VOCs</w:t>
      </w:r>
      <w:r>
        <w:rPr>
          <w:rFonts w:hint="eastAsia" w:ascii="仿宋" w:hAnsi="仿宋" w:eastAsia="仿宋" w:cs="仿宋"/>
          <w:color w:val="auto"/>
          <w:sz w:val="28"/>
          <w:szCs w:val="28"/>
          <w:highlight w:val="none"/>
          <w:lang w:val="en-US" w:eastAsia="zh-CN"/>
        </w:rPr>
        <w:t>活性物质，与臭氧污染有较大相关性。每年4月至9月，是</w:t>
      </w:r>
      <w:r>
        <w:rPr>
          <w:rFonts w:hint="eastAsia" w:ascii="仿宋" w:hAnsi="仿宋" w:cs="仿宋"/>
          <w:color w:val="auto"/>
          <w:sz w:val="28"/>
          <w:szCs w:val="28"/>
          <w:highlight w:val="none"/>
          <w:lang w:val="en-US" w:eastAsia="zh-CN"/>
        </w:rPr>
        <w:t>我</w:t>
      </w:r>
      <w:r>
        <w:rPr>
          <w:rFonts w:hint="eastAsia" w:ascii="仿宋" w:hAnsi="仿宋" w:eastAsia="仿宋" w:cs="仿宋"/>
          <w:color w:val="auto"/>
          <w:sz w:val="28"/>
          <w:szCs w:val="28"/>
          <w:highlight w:val="none"/>
          <w:lang w:val="en-US" w:eastAsia="zh-CN"/>
        </w:rPr>
        <w:t>市臭氧浓度较高的时段，峰值一般出现在日间14时前后。根据我市</w:t>
      </w:r>
      <w:r>
        <w:rPr>
          <w:rFonts w:hint="eastAsia" w:ascii="仿宋" w:hAnsi="仿宋" w:cs="仿宋"/>
          <w:color w:val="auto"/>
          <w:sz w:val="28"/>
          <w:szCs w:val="28"/>
          <w:highlight w:val="none"/>
          <w:lang w:val="en-US" w:eastAsia="zh-CN"/>
        </w:rPr>
        <w:t>VOCs</w:t>
      </w:r>
      <w:r>
        <w:rPr>
          <w:rFonts w:hint="eastAsia" w:ascii="仿宋" w:hAnsi="仿宋" w:eastAsia="仿宋" w:cs="仿宋"/>
          <w:color w:val="auto"/>
          <w:sz w:val="28"/>
          <w:szCs w:val="28"/>
          <w:highlight w:val="none"/>
          <w:lang w:val="en-US" w:eastAsia="zh-CN"/>
        </w:rPr>
        <w:t>源解析结果，工业排放占比最高，随着气温升高、光照加强、生产进入旺季，我市</w:t>
      </w:r>
      <w:r>
        <w:rPr>
          <w:rFonts w:hint="eastAsia" w:ascii="仿宋" w:hAnsi="仿宋" w:cs="仿宋"/>
          <w:color w:val="auto"/>
          <w:sz w:val="28"/>
          <w:szCs w:val="28"/>
          <w:highlight w:val="none"/>
          <w:lang w:val="en-US" w:eastAsia="zh-CN"/>
        </w:rPr>
        <w:t>塑料、橡胶</w:t>
      </w:r>
      <w:r>
        <w:rPr>
          <w:rFonts w:hint="eastAsia" w:ascii="仿宋" w:hAnsi="仿宋" w:eastAsia="仿宋" w:cs="仿宋"/>
          <w:color w:val="auto"/>
          <w:sz w:val="28"/>
          <w:szCs w:val="28"/>
          <w:highlight w:val="none"/>
          <w:lang w:val="en-US" w:eastAsia="zh-CN"/>
        </w:rPr>
        <w:t>、涂装、化工等行业排放的</w:t>
      </w:r>
      <w:r>
        <w:rPr>
          <w:rFonts w:hint="eastAsia" w:ascii="仿宋" w:hAnsi="仿宋" w:cs="仿宋"/>
          <w:color w:val="auto"/>
          <w:sz w:val="28"/>
          <w:szCs w:val="28"/>
          <w:highlight w:val="none"/>
          <w:lang w:val="en-US" w:eastAsia="zh-CN"/>
        </w:rPr>
        <w:t>VOCs</w:t>
      </w:r>
      <w:r>
        <w:rPr>
          <w:rFonts w:hint="eastAsia" w:ascii="仿宋" w:hAnsi="仿宋" w:eastAsia="仿宋" w:cs="仿宋"/>
          <w:color w:val="auto"/>
          <w:sz w:val="28"/>
          <w:szCs w:val="28"/>
          <w:highlight w:val="none"/>
          <w:lang w:val="en-US" w:eastAsia="zh-CN"/>
        </w:rPr>
        <w:t>增多，易在光化学催化下产生二次反应，本地和周边区域的共同影响加快了臭氧生成的速率。因此，工业排放(含溶剂使用)成为需要关注的重点排放源，</w:t>
      </w:r>
      <w:r>
        <w:rPr>
          <w:rFonts w:hint="eastAsia" w:ascii="仿宋" w:hAnsi="仿宋" w:cs="仿宋"/>
          <w:color w:val="auto"/>
          <w:sz w:val="28"/>
          <w:szCs w:val="28"/>
          <w:highlight w:val="none"/>
          <w:lang w:val="en-US" w:eastAsia="zh-CN"/>
        </w:rPr>
        <w:t>采取“相关</w:t>
      </w:r>
      <w:r>
        <w:rPr>
          <w:rFonts w:hint="eastAsia" w:ascii="仿宋" w:hAnsi="仿宋" w:eastAsia="仿宋" w:cs="仿宋"/>
          <w:color w:val="auto"/>
          <w:sz w:val="28"/>
          <w:szCs w:val="28"/>
          <w:highlight w:val="none"/>
          <w:lang w:val="en-US" w:eastAsia="zh-CN"/>
        </w:rPr>
        <w:t>污染治理措施逐步到位，加以适当管控</w:t>
      </w:r>
      <w:r>
        <w:rPr>
          <w:rFonts w:hint="eastAsia" w:ascii="仿宋" w:hAnsi="仿宋" w:cs="仿宋"/>
          <w:color w:val="auto"/>
          <w:sz w:val="28"/>
          <w:szCs w:val="28"/>
          <w:highlight w:val="none"/>
          <w:lang w:val="en-US" w:eastAsia="zh-CN"/>
        </w:rPr>
        <w:t>”的方法，是实现VOCs</w:t>
      </w:r>
      <w:r>
        <w:rPr>
          <w:rFonts w:hint="eastAsia" w:ascii="仿宋" w:hAnsi="仿宋" w:eastAsia="仿宋" w:cs="仿宋"/>
          <w:color w:val="auto"/>
          <w:sz w:val="28"/>
          <w:szCs w:val="28"/>
          <w:highlight w:val="none"/>
          <w:lang w:val="en-US" w:eastAsia="zh-CN"/>
        </w:rPr>
        <w:t>排放量持续削减</w:t>
      </w:r>
      <w:r>
        <w:rPr>
          <w:rFonts w:hint="eastAsia" w:ascii="仿宋" w:hAnsi="仿宋" w:cs="仿宋"/>
          <w:color w:val="auto"/>
          <w:sz w:val="28"/>
          <w:szCs w:val="28"/>
          <w:highlight w:val="none"/>
          <w:lang w:val="en-US" w:eastAsia="zh-CN"/>
        </w:rPr>
        <w:t>、</w:t>
      </w:r>
      <w:r>
        <w:rPr>
          <w:rFonts w:hint="eastAsia" w:ascii="仿宋" w:hAnsi="仿宋" w:eastAsia="仿宋" w:cs="仿宋"/>
          <w:color w:val="auto"/>
          <w:sz w:val="28"/>
          <w:szCs w:val="28"/>
          <w:highlight w:val="none"/>
          <w:lang w:val="en-US" w:eastAsia="zh-CN"/>
        </w:rPr>
        <w:t>臭氧污染</w:t>
      </w:r>
      <w:r>
        <w:rPr>
          <w:rFonts w:hint="eastAsia" w:ascii="仿宋" w:hAnsi="仿宋" w:cs="仿宋"/>
          <w:color w:val="auto"/>
          <w:sz w:val="28"/>
          <w:szCs w:val="28"/>
          <w:highlight w:val="none"/>
          <w:lang w:val="en-US" w:eastAsia="zh-CN"/>
        </w:rPr>
        <w:t>得到</w:t>
      </w:r>
      <w:r>
        <w:rPr>
          <w:rFonts w:hint="eastAsia" w:ascii="仿宋" w:hAnsi="仿宋" w:eastAsia="仿宋" w:cs="仿宋"/>
          <w:color w:val="auto"/>
          <w:sz w:val="28"/>
          <w:szCs w:val="28"/>
          <w:highlight w:val="none"/>
          <w:lang w:val="en-US" w:eastAsia="zh-CN"/>
        </w:rPr>
        <w:t>改善</w:t>
      </w:r>
      <w:r>
        <w:rPr>
          <w:rFonts w:hint="eastAsia" w:ascii="仿宋" w:hAnsi="仿宋" w:cs="仿宋"/>
          <w:color w:val="auto"/>
          <w:sz w:val="28"/>
          <w:szCs w:val="28"/>
          <w:highlight w:val="none"/>
          <w:lang w:val="en-US" w:eastAsia="zh-CN"/>
        </w:rPr>
        <w:t>的重要途径</w:t>
      </w:r>
      <w:r>
        <w:rPr>
          <w:rFonts w:hint="eastAsia" w:ascii="仿宋" w:hAnsi="仿宋" w:eastAsia="仿宋" w:cs="仿宋"/>
          <w:color w:val="auto"/>
          <w:sz w:val="28"/>
          <w:szCs w:val="28"/>
          <w:highlight w:val="none"/>
          <w:lang w:val="en-US" w:eastAsia="zh-CN"/>
        </w:rPr>
        <w:t>。</w:t>
      </w:r>
    </w:p>
    <w:p w14:paraId="03C5C036">
      <w:pPr>
        <w:pStyle w:val="8"/>
        <w:keepNext w:val="0"/>
        <w:keepLines w:val="0"/>
        <w:pageBreakBefore w:val="0"/>
        <w:widowControl w:val="0"/>
        <w:shd w:val="clear"/>
        <w:kinsoku/>
        <w:wordWrap/>
        <w:overflowPunct/>
        <w:topLinePunct w:val="0"/>
        <w:autoSpaceDE/>
        <w:autoSpaceDN/>
        <w:bidi w:val="0"/>
        <w:adjustRightInd/>
        <w:snapToGrid/>
        <w:textAlignment w:val="auto"/>
        <w:outlineLvl w:val="1"/>
        <w:rPr>
          <w:rFonts w:hint="default" w:ascii="宋体" w:hAnsi="宋体" w:eastAsia="宋体" w:cs="宋体"/>
          <w:b/>
          <w:bCs/>
          <w:sz w:val="28"/>
          <w:szCs w:val="21"/>
          <w:highlight w:val="none"/>
          <w:lang w:val="en-US" w:eastAsia="zh-CN"/>
        </w:rPr>
      </w:pPr>
      <w:bookmarkStart w:id="12" w:name="_Toc19215"/>
      <w:r>
        <w:rPr>
          <w:rFonts w:hint="eastAsia" w:ascii="宋体" w:hAnsi="宋体" w:eastAsia="宋体" w:cs="宋体"/>
          <w:b/>
          <w:bCs/>
          <w:sz w:val="28"/>
          <w:szCs w:val="21"/>
          <w:highlight w:val="none"/>
          <w:lang w:val="en-US" w:eastAsia="zh-CN"/>
        </w:rPr>
        <w:t>3.2工业源VOCs排放监管手段需要完善</w:t>
      </w:r>
      <w:bookmarkEnd w:id="12"/>
    </w:p>
    <w:p w14:paraId="1690C304">
      <w:pPr>
        <w:pStyle w:val="8"/>
        <w:keepNext w:val="0"/>
        <w:keepLines w:val="0"/>
        <w:pageBreakBefore w:val="0"/>
        <w:shd w:val="clear"/>
        <w:kinsoku/>
        <w:wordWrap/>
        <w:overflowPunct/>
        <w:topLinePunct w:val="0"/>
        <w:autoSpaceDE/>
        <w:autoSpaceDN/>
        <w:bidi w:val="0"/>
        <w:adjustRightInd/>
        <w:snapToGrid/>
        <w:spacing w:line="360" w:lineRule="auto"/>
        <w:ind w:left="0"/>
        <w:textAlignment w:val="auto"/>
        <w:rPr>
          <w:rFonts w:hint="eastAsia" w:ascii="仿宋" w:hAnsi="仿宋" w:eastAsia="仿宋" w:cs="仿宋"/>
          <w:color w:val="auto"/>
          <w:sz w:val="28"/>
          <w:szCs w:val="28"/>
          <w:highlight w:val="none"/>
          <w:lang w:val="en-US" w:eastAsia="zh-CN"/>
        </w:rPr>
      </w:pPr>
      <w:r>
        <w:rPr>
          <w:rFonts w:hint="eastAsia" w:ascii="仿宋" w:hAnsi="仿宋" w:cs="仿宋"/>
          <w:color w:val="auto"/>
          <w:sz w:val="28"/>
          <w:szCs w:val="28"/>
          <w:highlight w:val="none"/>
          <w:lang w:val="en-US" w:eastAsia="zh-CN"/>
        </w:rPr>
        <w:t>我</w:t>
      </w:r>
      <w:r>
        <w:rPr>
          <w:rFonts w:hint="eastAsia" w:ascii="仿宋" w:hAnsi="仿宋" w:eastAsia="仿宋" w:cs="仿宋"/>
          <w:color w:val="auto"/>
          <w:sz w:val="28"/>
          <w:szCs w:val="28"/>
          <w:highlight w:val="none"/>
          <w:lang w:val="en-US" w:eastAsia="zh-CN"/>
        </w:rPr>
        <w:t>市工业源的污染物排放在区域污染物排放的占比极高，是大气污染来源的主要原因之一。区域内工业污染源多且排污集中，其中区域内</w:t>
      </w:r>
      <w:r>
        <w:rPr>
          <w:rFonts w:hint="eastAsia" w:ascii="仿宋" w:hAnsi="仿宋" w:cs="仿宋"/>
          <w:color w:val="auto"/>
          <w:sz w:val="28"/>
          <w:szCs w:val="28"/>
          <w:highlight w:val="none"/>
          <w:lang w:val="en-US" w:eastAsia="zh-CN"/>
        </w:rPr>
        <w:t>VOCs</w:t>
      </w:r>
      <w:r>
        <w:rPr>
          <w:rFonts w:hint="eastAsia" w:ascii="仿宋" w:hAnsi="仿宋" w:eastAsia="仿宋" w:cs="仿宋"/>
          <w:color w:val="auto"/>
          <w:sz w:val="28"/>
          <w:szCs w:val="28"/>
          <w:highlight w:val="none"/>
          <w:lang w:val="en-US" w:eastAsia="zh-CN"/>
        </w:rPr>
        <w:t>排放类工业污染源众多，也是影响</w:t>
      </w:r>
      <w:r>
        <w:rPr>
          <w:rFonts w:hint="eastAsia" w:ascii="仿宋" w:hAnsi="仿宋" w:cs="仿宋"/>
          <w:color w:val="auto"/>
          <w:sz w:val="28"/>
          <w:szCs w:val="28"/>
          <w:highlight w:val="none"/>
          <w:lang w:val="en-US" w:eastAsia="zh-CN"/>
        </w:rPr>
        <w:t>我</w:t>
      </w:r>
      <w:r>
        <w:rPr>
          <w:rFonts w:hint="eastAsia" w:ascii="仿宋" w:hAnsi="仿宋" w:eastAsia="仿宋" w:cs="仿宋"/>
          <w:color w:val="auto"/>
          <w:sz w:val="28"/>
          <w:szCs w:val="28"/>
          <w:highlight w:val="none"/>
          <w:lang w:val="en-US" w:eastAsia="zh-CN"/>
        </w:rPr>
        <w:t>市区域内空气指标的主要因素之一。随着工业源排放标准不断提高，末端治理空间逐渐收窄，能够释放的减排红利</w:t>
      </w:r>
      <w:r>
        <w:rPr>
          <w:rFonts w:hint="eastAsia" w:ascii="仿宋" w:hAnsi="仿宋" w:cs="仿宋"/>
          <w:color w:val="auto"/>
          <w:sz w:val="28"/>
          <w:szCs w:val="28"/>
          <w:highlight w:val="none"/>
          <w:lang w:val="en-US" w:eastAsia="zh-CN"/>
        </w:rPr>
        <w:t>日渐紧缩</w:t>
      </w:r>
      <w:r>
        <w:rPr>
          <w:rFonts w:hint="eastAsia" w:ascii="仿宋" w:hAnsi="仿宋" w:eastAsia="仿宋" w:cs="仿宋"/>
          <w:color w:val="auto"/>
          <w:sz w:val="28"/>
          <w:szCs w:val="28"/>
          <w:highlight w:val="none"/>
          <w:lang w:val="en-US" w:eastAsia="zh-CN"/>
        </w:rPr>
        <w:t>。与此同时，工业源排放单位频繁停产、限产，造成污染低、效益高的单位往往与污染高、产出低的单位一同受到停限产制约。这些原因导致污染物排放单位深度挖潜、环保提升的积极性不强。目前采集污染物排放数据，监控工业源是否存在超标排放问题</w:t>
      </w:r>
      <w:r>
        <w:rPr>
          <w:rFonts w:hint="eastAsia" w:ascii="仿宋" w:hAnsi="仿宋" w:cs="仿宋"/>
          <w:color w:val="auto"/>
          <w:sz w:val="28"/>
          <w:szCs w:val="28"/>
          <w:highlight w:val="none"/>
          <w:lang w:val="en-US" w:eastAsia="zh-CN"/>
        </w:rPr>
        <w:t>普遍</w:t>
      </w:r>
      <w:r>
        <w:rPr>
          <w:rFonts w:hint="eastAsia" w:ascii="仿宋" w:hAnsi="仿宋" w:eastAsia="仿宋" w:cs="仿宋"/>
          <w:color w:val="auto"/>
          <w:sz w:val="28"/>
          <w:szCs w:val="28"/>
          <w:highlight w:val="none"/>
          <w:lang w:val="en-US" w:eastAsia="zh-CN"/>
        </w:rPr>
        <w:t>基于工业源末端监测系统，评价指标</w:t>
      </w:r>
      <w:r>
        <w:rPr>
          <w:rFonts w:hint="eastAsia" w:ascii="仿宋" w:hAnsi="仿宋" w:cs="仿宋"/>
          <w:color w:val="auto"/>
          <w:sz w:val="28"/>
          <w:szCs w:val="28"/>
          <w:highlight w:val="none"/>
          <w:lang w:val="en-US" w:eastAsia="zh-CN"/>
        </w:rPr>
        <w:t>有待丰富</w:t>
      </w:r>
      <w:r>
        <w:rPr>
          <w:rFonts w:hint="eastAsia" w:ascii="仿宋" w:hAnsi="仿宋" w:eastAsia="仿宋" w:cs="仿宋"/>
          <w:color w:val="auto"/>
          <w:sz w:val="28"/>
          <w:szCs w:val="28"/>
          <w:highlight w:val="none"/>
          <w:lang w:val="en-US" w:eastAsia="zh-CN"/>
        </w:rPr>
        <w:t>，调控手段</w:t>
      </w:r>
      <w:r>
        <w:rPr>
          <w:rFonts w:hint="eastAsia" w:ascii="仿宋" w:hAnsi="仿宋" w:cs="仿宋"/>
          <w:color w:val="auto"/>
          <w:sz w:val="28"/>
          <w:szCs w:val="28"/>
          <w:highlight w:val="none"/>
          <w:lang w:val="en-US" w:eastAsia="zh-CN"/>
        </w:rPr>
        <w:t>仍需加强</w:t>
      </w:r>
      <w:r>
        <w:rPr>
          <w:rFonts w:hint="eastAsia" w:ascii="仿宋" w:hAnsi="仿宋" w:eastAsia="仿宋" w:cs="仿宋"/>
          <w:color w:val="auto"/>
          <w:sz w:val="28"/>
          <w:szCs w:val="28"/>
          <w:highlight w:val="none"/>
          <w:lang w:val="en-US" w:eastAsia="zh-CN"/>
        </w:rPr>
        <w:t>，</w:t>
      </w:r>
      <w:r>
        <w:rPr>
          <w:rFonts w:hint="eastAsia" w:ascii="仿宋" w:hAnsi="仿宋" w:cs="仿宋"/>
          <w:color w:val="auto"/>
          <w:sz w:val="28"/>
          <w:szCs w:val="28"/>
          <w:highlight w:val="none"/>
          <w:lang w:val="en-US" w:eastAsia="zh-CN"/>
        </w:rPr>
        <w:t>落实对</w:t>
      </w:r>
      <w:r>
        <w:rPr>
          <w:rFonts w:hint="eastAsia" w:ascii="仿宋" w:hAnsi="仿宋" w:eastAsia="仿宋" w:cs="仿宋"/>
          <w:color w:val="auto"/>
          <w:sz w:val="28"/>
          <w:szCs w:val="28"/>
          <w:highlight w:val="none"/>
          <w:lang w:val="en-US" w:eastAsia="zh-CN"/>
        </w:rPr>
        <w:t>行业</w:t>
      </w:r>
      <w:r>
        <w:rPr>
          <w:rFonts w:hint="eastAsia" w:ascii="仿宋" w:hAnsi="仿宋" w:cs="仿宋"/>
          <w:color w:val="auto"/>
          <w:sz w:val="28"/>
          <w:szCs w:val="28"/>
          <w:highlight w:val="none"/>
          <w:lang w:val="en-US" w:eastAsia="zh-CN"/>
        </w:rPr>
        <w:t>排污</w:t>
      </w:r>
      <w:r>
        <w:rPr>
          <w:rFonts w:hint="eastAsia" w:ascii="仿宋" w:hAnsi="仿宋" w:eastAsia="仿宋" w:cs="仿宋"/>
          <w:color w:val="auto"/>
          <w:sz w:val="28"/>
          <w:szCs w:val="28"/>
          <w:highlight w:val="none"/>
          <w:lang w:val="en-US" w:eastAsia="zh-CN"/>
        </w:rPr>
        <w:t>总量</w:t>
      </w:r>
      <w:r>
        <w:rPr>
          <w:rFonts w:hint="eastAsia" w:ascii="仿宋" w:hAnsi="仿宋" w:cs="仿宋"/>
          <w:color w:val="auto"/>
          <w:sz w:val="28"/>
          <w:szCs w:val="28"/>
          <w:highlight w:val="none"/>
          <w:lang w:val="en-US" w:eastAsia="zh-CN"/>
        </w:rPr>
        <w:t>有效</w:t>
      </w:r>
      <w:r>
        <w:rPr>
          <w:rFonts w:hint="eastAsia" w:ascii="仿宋" w:hAnsi="仿宋" w:eastAsia="仿宋" w:cs="仿宋"/>
          <w:color w:val="auto"/>
          <w:sz w:val="28"/>
          <w:szCs w:val="28"/>
          <w:highlight w:val="none"/>
          <w:lang w:val="en-US" w:eastAsia="zh-CN"/>
        </w:rPr>
        <w:t>控制。</w:t>
      </w:r>
    </w:p>
    <w:p w14:paraId="22C580C9">
      <w:pPr>
        <w:pStyle w:val="8"/>
        <w:keepNext w:val="0"/>
        <w:keepLines w:val="0"/>
        <w:pageBreakBefore w:val="0"/>
        <w:shd w:val="clear"/>
        <w:kinsoku/>
        <w:wordWrap/>
        <w:overflowPunct/>
        <w:topLinePunct w:val="0"/>
        <w:autoSpaceDE/>
        <w:autoSpaceDN/>
        <w:bidi w:val="0"/>
        <w:adjustRightInd/>
        <w:snapToGrid/>
        <w:spacing w:line="360" w:lineRule="auto"/>
        <w:ind w:left="0"/>
        <w:textAlignment w:val="auto"/>
        <w:rPr>
          <w:rFonts w:hint="eastAsia" w:ascii="仿宋" w:hAnsi="仿宋" w:eastAsia="仿宋" w:cs="仿宋"/>
          <w:color w:val="auto"/>
          <w:sz w:val="28"/>
          <w:szCs w:val="28"/>
          <w:highlight w:val="none"/>
          <w:lang w:val="en-US" w:eastAsia="zh-CN"/>
        </w:rPr>
      </w:pPr>
      <w:r>
        <w:rPr>
          <w:rFonts w:hint="eastAsia" w:ascii="仿宋" w:hAnsi="仿宋" w:cs="仿宋"/>
          <w:color w:val="auto"/>
          <w:sz w:val="28"/>
          <w:szCs w:val="28"/>
          <w:highlight w:val="none"/>
          <w:lang w:val="en-US" w:eastAsia="zh-CN"/>
        </w:rPr>
        <w:t>当前，我市对工业污染源的监控仍以现场监管为主，总体来看，此监管方式存在以下不足：一是在针对涉及气体排放的重点企业的日常监管过程中，对于污染治理设施是否有效运行的判断和识别存在一定的延迟，实时监控的能力尚显不足。二是在重污染天气的应急响应期间，监管的范围广泛、密度大、任务繁重，对监管工作的高效性和精细化提出了更高的要求，需进一步提升我市监管能力。三是当工业污染源引发环境问题时，缺乏数据支持，难以追溯问题的根源，从而无法更科学地制定应急措施。针对以上不足</w:t>
      </w:r>
      <w:r>
        <w:rPr>
          <w:rFonts w:hint="eastAsia" w:ascii="仿宋" w:hAnsi="仿宋" w:eastAsia="仿宋" w:cs="仿宋"/>
          <w:color w:val="auto"/>
          <w:sz w:val="28"/>
          <w:szCs w:val="28"/>
          <w:highlight w:val="none"/>
          <w:lang w:val="en-US" w:eastAsia="zh-CN"/>
        </w:rPr>
        <w:t>，对各类工业源的关键生产设备、治污设备进行全过程数据采集、监控和联网，从工业源“末端治理”到“过程监控”，实现由过去单一的排污数据监测，拓展至工业源产污、治污、排污全过程、多维度监测监管</w:t>
      </w:r>
      <w:r>
        <w:rPr>
          <w:rFonts w:hint="eastAsia" w:ascii="仿宋" w:hAnsi="仿宋" w:cs="仿宋"/>
          <w:color w:val="auto"/>
          <w:sz w:val="28"/>
          <w:szCs w:val="28"/>
          <w:highlight w:val="none"/>
          <w:lang w:val="en-US" w:eastAsia="zh-CN"/>
        </w:rPr>
        <w:t>，是</w:t>
      </w:r>
      <w:r>
        <w:rPr>
          <w:rFonts w:hint="eastAsia" w:ascii="仿宋" w:hAnsi="仿宋" w:eastAsia="仿宋" w:cs="仿宋"/>
          <w:color w:val="auto"/>
          <w:sz w:val="28"/>
          <w:szCs w:val="28"/>
          <w:highlight w:val="none"/>
          <w:lang w:val="en-US" w:eastAsia="zh-CN"/>
        </w:rPr>
        <w:t>提高我市对工业源大气污染防治的监管能力</w:t>
      </w:r>
      <w:r>
        <w:rPr>
          <w:rFonts w:hint="eastAsia" w:ascii="仿宋" w:hAnsi="仿宋" w:cs="仿宋"/>
          <w:color w:val="auto"/>
          <w:sz w:val="28"/>
          <w:szCs w:val="28"/>
          <w:highlight w:val="none"/>
          <w:lang w:val="en-US" w:eastAsia="zh-CN"/>
        </w:rPr>
        <w:t>的重要手段</w:t>
      </w:r>
      <w:r>
        <w:rPr>
          <w:rFonts w:hint="eastAsia" w:ascii="仿宋" w:hAnsi="仿宋" w:eastAsia="仿宋" w:cs="仿宋"/>
          <w:color w:val="auto"/>
          <w:sz w:val="28"/>
          <w:szCs w:val="28"/>
          <w:highlight w:val="none"/>
          <w:lang w:val="en-US" w:eastAsia="zh-CN"/>
        </w:rPr>
        <w:t>。</w:t>
      </w:r>
    </w:p>
    <w:p w14:paraId="11C63E6F">
      <w:pPr>
        <w:pStyle w:val="8"/>
        <w:keepNext w:val="0"/>
        <w:keepLines w:val="0"/>
        <w:pageBreakBefore w:val="0"/>
        <w:widowControl w:val="0"/>
        <w:shd w:val="clear"/>
        <w:kinsoku/>
        <w:wordWrap/>
        <w:overflowPunct/>
        <w:topLinePunct w:val="0"/>
        <w:autoSpaceDE/>
        <w:autoSpaceDN/>
        <w:bidi w:val="0"/>
        <w:adjustRightInd/>
        <w:snapToGrid/>
        <w:textAlignment w:val="auto"/>
        <w:outlineLvl w:val="1"/>
        <w:rPr>
          <w:rFonts w:hint="default" w:ascii="宋体" w:hAnsi="宋体" w:eastAsia="宋体" w:cs="宋体"/>
          <w:b/>
          <w:bCs/>
          <w:sz w:val="28"/>
          <w:szCs w:val="21"/>
          <w:highlight w:val="none"/>
          <w:lang w:val="en-US" w:eastAsia="zh-CN"/>
        </w:rPr>
      </w:pPr>
      <w:bookmarkStart w:id="13" w:name="_Toc4469"/>
      <w:r>
        <w:rPr>
          <w:rFonts w:hint="eastAsia" w:ascii="宋体" w:hAnsi="宋体" w:eastAsia="宋体" w:cs="宋体"/>
          <w:b/>
          <w:bCs/>
          <w:sz w:val="28"/>
          <w:szCs w:val="21"/>
          <w:highlight w:val="none"/>
          <w:lang w:val="en-US" w:eastAsia="zh-CN"/>
        </w:rPr>
        <w:t>3.2信息化技术在环境监管体系方面的应用需</w:t>
      </w:r>
      <w:bookmarkEnd w:id="11"/>
      <w:r>
        <w:rPr>
          <w:rFonts w:hint="eastAsia" w:ascii="宋体" w:hAnsi="宋体" w:eastAsia="宋体" w:cs="宋体"/>
          <w:b/>
          <w:bCs/>
          <w:sz w:val="28"/>
          <w:szCs w:val="21"/>
          <w:highlight w:val="none"/>
          <w:lang w:val="en-US" w:eastAsia="zh-CN"/>
        </w:rPr>
        <w:t>进一步增强</w:t>
      </w:r>
      <w:bookmarkEnd w:id="13"/>
    </w:p>
    <w:p w14:paraId="30C8F0CC">
      <w:pPr>
        <w:pStyle w:val="8"/>
        <w:shd w:val="clear"/>
        <w:rPr>
          <w:rFonts w:hint="eastAsia"/>
          <w:sz w:val="28"/>
          <w:szCs w:val="21"/>
          <w:highlight w:val="none"/>
          <w:lang w:val="en-GB" w:eastAsia="zh-CN"/>
        </w:rPr>
      </w:pPr>
      <w:r>
        <w:rPr>
          <w:rFonts w:hint="eastAsia"/>
          <w:sz w:val="28"/>
          <w:szCs w:val="21"/>
          <w:highlight w:val="none"/>
          <w:lang w:val="en-GB" w:eastAsia="zh-CN"/>
        </w:rPr>
        <w:t>目前我市对工业污染源的主要监测监管手段仍然停留在传统的在线监测上面，尚不能全面支撑将要全面实行的污染源非现场监管模式，因此通过补充完善监测监控数据能够帮助我市建立起较为全面的自动监测监控体系。</w:t>
      </w:r>
    </w:p>
    <w:p w14:paraId="2C352EDD">
      <w:pPr>
        <w:pStyle w:val="8"/>
        <w:shd w:val="clear"/>
        <w:rPr>
          <w:rFonts w:hint="eastAsia"/>
          <w:sz w:val="28"/>
          <w:szCs w:val="21"/>
          <w:highlight w:val="none"/>
          <w:lang w:val="en-GB" w:eastAsia="zh-CN"/>
        </w:rPr>
      </w:pPr>
      <w:r>
        <w:rPr>
          <w:rFonts w:hint="eastAsia"/>
          <w:sz w:val="28"/>
          <w:szCs w:val="21"/>
          <w:highlight w:val="none"/>
          <w:lang w:val="en-GB" w:eastAsia="zh-CN"/>
        </w:rPr>
        <w:t>我市当前还需要不断完善污染源环境监测监控数据管理与应用体系，污染源在线监测平台不能满足实际工作中的业务处理，目前我市对重点监管企业的主要排放口的末端排放在线监控，覆盖面不全。由于缺乏工业污染源在重污染天气执行情况的监控，环境执法人员仍是以现场发现、核实环境问题为主，部分企业在生产过程中存在“钻空子、躲盲区、找漏洞”的问题，偷排多排等现象未能完全杜绝。因此，建立非现场环境监管体系，通过培养专业的高素质人才队伍提升环境数据使用效率，实现线上线下相结合的环境监管模式，是我市提高环境管理水平的重点工作之一。</w:t>
      </w:r>
    </w:p>
    <w:p w14:paraId="67314EEA">
      <w:pPr>
        <w:pStyle w:val="8"/>
        <w:keepNext w:val="0"/>
        <w:keepLines w:val="0"/>
        <w:pageBreakBefore w:val="0"/>
        <w:widowControl w:val="0"/>
        <w:shd w:val="clear"/>
        <w:kinsoku/>
        <w:wordWrap/>
        <w:overflowPunct/>
        <w:topLinePunct w:val="0"/>
        <w:autoSpaceDE/>
        <w:autoSpaceDN/>
        <w:bidi w:val="0"/>
        <w:adjustRightInd/>
        <w:snapToGrid/>
        <w:textAlignment w:val="auto"/>
        <w:outlineLvl w:val="1"/>
        <w:rPr>
          <w:rFonts w:hint="default" w:ascii="宋体" w:hAnsi="宋体" w:eastAsia="宋体" w:cs="宋体"/>
          <w:b/>
          <w:bCs/>
          <w:sz w:val="28"/>
          <w:szCs w:val="21"/>
          <w:highlight w:val="none"/>
          <w:lang w:val="en-US" w:eastAsia="zh-CN"/>
        </w:rPr>
      </w:pPr>
      <w:bookmarkStart w:id="14" w:name="_Toc8084"/>
      <w:r>
        <w:rPr>
          <w:rFonts w:hint="eastAsia" w:ascii="宋体" w:hAnsi="宋体" w:eastAsia="宋体" w:cs="宋体"/>
          <w:b/>
          <w:bCs/>
          <w:sz w:val="28"/>
          <w:szCs w:val="21"/>
          <w:highlight w:val="none"/>
          <w:lang w:val="en-US" w:eastAsia="zh-CN"/>
        </w:rPr>
        <w:t>3.3涉VOCs污染物排放智能管控可视化系统需要全覆盖</w:t>
      </w:r>
      <w:bookmarkEnd w:id="14"/>
    </w:p>
    <w:p w14:paraId="18182AFD">
      <w:pPr>
        <w:pStyle w:val="8"/>
        <w:keepNext w:val="0"/>
        <w:keepLines w:val="0"/>
        <w:pageBreakBefore w:val="0"/>
        <w:shd w:val="clear"/>
        <w:kinsoku/>
        <w:wordWrap/>
        <w:overflowPunct/>
        <w:topLinePunct w:val="0"/>
        <w:autoSpaceDE/>
        <w:autoSpaceDN/>
        <w:bidi w:val="0"/>
        <w:adjustRightInd/>
        <w:snapToGrid/>
        <w:spacing w:line="360" w:lineRule="auto"/>
        <w:ind w:left="0"/>
        <w:textAlignment w:val="auto"/>
        <w:rPr>
          <w:rFonts w:hint="eastAsia" w:ascii="仿宋" w:hAnsi="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我市涉</w:t>
      </w:r>
      <w:r>
        <w:rPr>
          <w:rFonts w:hint="eastAsia" w:ascii="仿宋" w:hAnsi="仿宋" w:cs="仿宋"/>
          <w:color w:val="auto"/>
          <w:sz w:val="28"/>
          <w:szCs w:val="28"/>
          <w:highlight w:val="none"/>
          <w:lang w:val="en-US" w:eastAsia="zh-CN"/>
        </w:rPr>
        <w:t>VOCs</w:t>
      </w:r>
      <w:r>
        <w:rPr>
          <w:rFonts w:hint="eastAsia" w:ascii="仿宋" w:hAnsi="仿宋" w:eastAsia="仿宋" w:cs="仿宋"/>
          <w:color w:val="auto"/>
          <w:sz w:val="28"/>
          <w:szCs w:val="28"/>
          <w:highlight w:val="none"/>
          <w:lang w:val="en-US" w:eastAsia="zh-CN"/>
        </w:rPr>
        <w:t>排放</w:t>
      </w:r>
      <w:r>
        <w:rPr>
          <w:rFonts w:hint="eastAsia" w:ascii="仿宋" w:hAnsi="仿宋" w:cs="仿宋"/>
          <w:color w:val="auto"/>
          <w:sz w:val="28"/>
          <w:szCs w:val="28"/>
          <w:highlight w:val="none"/>
          <w:lang w:val="en-US" w:eastAsia="zh-CN"/>
        </w:rPr>
        <w:t>工业源2527家，其中年污染物产生量大于50吨的</w:t>
      </w:r>
      <w:r>
        <w:rPr>
          <w:rFonts w:hint="eastAsia" w:ascii="仿宋" w:hAnsi="仿宋" w:eastAsia="仿宋" w:cs="仿宋"/>
          <w:color w:val="auto"/>
          <w:sz w:val="28"/>
          <w:szCs w:val="28"/>
          <w:highlight w:val="none"/>
          <w:lang w:val="en-US" w:eastAsia="zh-CN"/>
        </w:rPr>
        <w:t>重点工业源</w:t>
      </w:r>
      <w:r>
        <w:rPr>
          <w:rFonts w:hint="eastAsia" w:ascii="仿宋" w:hAnsi="仿宋" w:cs="仿宋"/>
          <w:color w:val="auto"/>
          <w:sz w:val="28"/>
          <w:szCs w:val="28"/>
          <w:highlight w:val="none"/>
          <w:lang w:val="en-US" w:eastAsia="zh-CN"/>
        </w:rPr>
        <w:t>为117</w:t>
      </w:r>
      <w:r>
        <w:rPr>
          <w:rFonts w:hint="eastAsia" w:ascii="仿宋" w:hAnsi="仿宋" w:eastAsia="仿宋" w:cs="仿宋"/>
          <w:color w:val="auto"/>
          <w:sz w:val="28"/>
          <w:szCs w:val="28"/>
          <w:highlight w:val="none"/>
          <w:lang w:val="en-US" w:eastAsia="zh-CN"/>
        </w:rPr>
        <w:t>家，</w:t>
      </w:r>
      <w:r>
        <w:rPr>
          <w:rFonts w:hint="eastAsia" w:ascii="仿宋" w:hAnsi="仿宋" w:cs="仿宋"/>
          <w:color w:val="auto"/>
          <w:sz w:val="28"/>
          <w:szCs w:val="28"/>
          <w:highlight w:val="none"/>
          <w:lang w:val="en-US" w:eastAsia="zh-CN"/>
        </w:rPr>
        <w:t>占全保定市VOCs污染物总产生量的71.5%，对这117加企业实施重点管控将能有效控制涉VOCs污染物最终排放量，对</w:t>
      </w:r>
      <w:r>
        <w:rPr>
          <w:rFonts w:hint="eastAsia" w:ascii="仿宋" w:hAnsi="仿宋" w:eastAsia="仿宋" w:cs="仿宋"/>
          <w:color w:val="auto"/>
          <w:sz w:val="28"/>
          <w:szCs w:val="28"/>
          <w:highlight w:val="none"/>
          <w:lang w:val="en-US" w:eastAsia="zh-CN"/>
        </w:rPr>
        <w:t>保障</w:t>
      </w:r>
      <w:r>
        <w:rPr>
          <w:rFonts w:hint="eastAsia" w:ascii="仿宋" w:hAnsi="仿宋" w:cs="仿宋"/>
          <w:color w:val="auto"/>
          <w:sz w:val="28"/>
          <w:szCs w:val="28"/>
          <w:highlight w:val="none"/>
          <w:lang w:val="en-US" w:eastAsia="zh-CN"/>
        </w:rPr>
        <w:t>我</w:t>
      </w:r>
      <w:r>
        <w:rPr>
          <w:rFonts w:hint="eastAsia" w:ascii="仿宋" w:hAnsi="仿宋" w:eastAsia="仿宋" w:cs="仿宋"/>
          <w:color w:val="auto"/>
          <w:sz w:val="28"/>
          <w:szCs w:val="28"/>
          <w:highlight w:val="none"/>
          <w:lang w:val="en-US" w:eastAsia="zh-CN"/>
        </w:rPr>
        <w:t>市空气质量持续改善</w:t>
      </w:r>
      <w:r>
        <w:rPr>
          <w:rFonts w:hint="eastAsia" w:ascii="仿宋" w:hAnsi="仿宋" w:cs="仿宋"/>
          <w:color w:val="auto"/>
          <w:sz w:val="28"/>
          <w:szCs w:val="28"/>
          <w:highlight w:val="none"/>
          <w:lang w:val="en-US" w:eastAsia="zh-CN"/>
        </w:rPr>
        <w:t>发挥决定性作用。</w:t>
      </w:r>
    </w:p>
    <w:p w14:paraId="77231AA3">
      <w:pPr>
        <w:pStyle w:val="8"/>
        <w:keepNext w:val="0"/>
        <w:keepLines w:val="0"/>
        <w:pageBreakBefore w:val="0"/>
        <w:shd w:val="clear"/>
        <w:kinsoku/>
        <w:wordWrap/>
        <w:overflowPunct/>
        <w:topLinePunct w:val="0"/>
        <w:autoSpaceDE/>
        <w:autoSpaceDN/>
        <w:bidi w:val="0"/>
        <w:adjustRightInd/>
        <w:snapToGrid/>
        <w:spacing w:line="360" w:lineRule="auto"/>
        <w:ind w:left="0"/>
        <w:textAlignment w:val="auto"/>
        <w:rPr>
          <w:rFonts w:hint="eastAsia" w:ascii="仿宋" w:hAnsi="仿宋" w:eastAsia="仿宋" w:cs="仿宋"/>
          <w:color w:val="auto"/>
          <w:sz w:val="28"/>
          <w:szCs w:val="28"/>
          <w:highlight w:val="none"/>
          <w:lang w:val="en-US" w:eastAsia="zh-CN"/>
        </w:rPr>
      </w:pPr>
      <w:r>
        <w:rPr>
          <w:rFonts w:hint="eastAsia" w:ascii="仿宋" w:hAnsi="仿宋" w:cs="仿宋"/>
          <w:color w:val="auto"/>
          <w:sz w:val="28"/>
          <w:szCs w:val="28"/>
          <w:highlight w:val="none"/>
          <w:lang w:val="en-US" w:eastAsia="zh-CN"/>
        </w:rPr>
        <w:t>目前我市已在</w:t>
      </w:r>
      <w:r>
        <w:rPr>
          <w:rFonts w:hint="eastAsia" w:ascii="仿宋" w:hAnsi="仿宋" w:eastAsia="仿宋" w:cs="仿宋"/>
          <w:color w:val="auto"/>
          <w:sz w:val="28"/>
          <w:szCs w:val="28"/>
          <w:highlight w:val="none"/>
          <w:lang w:val="en-US" w:eastAsia="zh-CN"/>
        </w:rPr>
        <w:t>满城</w:t>
      </w:r>
      <w:r>
        <w:rPr>
          <w:rFonts w:hint="eastAsia" w:ascii="仿宋" w:hAnsi="仿宋" w:cs="仿宋"/>
          <w:color w:val="auto"/>
          <w:sz w:val="28"/>
          <w:szCs w:val="28"/>
          <w:highlight w:val="none"/>
          <w:lang w:val="en-US" w:eastAsia="zh-CN"/>
        </w:rPr>
        <w:t>（9）</w:t>
      </w:r>
      <w:r>
        <w:rPr>
          <w:rFonts w:hint="eastAsia" w:ascii="仿宋" w:hAnsi="仿宋" w:eastAsia="仿宋" w:cs="仿宋"/>
          <w:color w:val="auto"/>
          <w:sz w:val="28"/>
          <w:szCs w:val="28"/>
          <w:highlight w:val="none"/>
          <w:lang w:val="en-US" w:eastAsia="zh-CN"/>
        </w:rPr>
        <w:t>、蠡县</w:t>
      </w:r>
      <w:r>
        <w:rPr>
          <w:rFonts w:hint="eastAsia" w:ascii="仿宋" w:hAnsi="仿宋" w:cs="仿宋"/>
          <w:color w:val="auto"/>
          <w:sz w:val="28"/>
          <w:szCs w:val="28"/>
          <w:highlight w:val="none"/>
          <w:lang w:val="en-US" w:eastAsia="zh-CN"/>
        </w:rPr>
        <w:t>（3）、徐水（2）、高新（2）、高阳（5）、竞秀（4）</w:t>
      </w:r>
      <w:r>
        <w:rPr>
          <w:rFonts w:hint="eastAsia" w:ascii="仿宋" w:hAnsi="仿宋" w:eastAsia="仿宋" w:cs="仿宋"/>
          <w:color w:val="auto"/>
          <w:sz w:val="28"/>
          <w:szCs w:val="28"/>
          <w:highlight w:val="none"/>
          <w:lang w:val="en-US" w:eastAsia="zh-CN"/>
        </w:rPr>
        <w:t>等地</w:t>
      </w:r>
      <w:r>
        <w:rPr>
          <w:rFonts w:hint="eastAsia" w:ascii="仿宋" w:hAnsi="仿宋" w:cs="仿宋"/>
          <w:color w:val="auto"/>
          <w:sz w:val="28"/>
          <w:szCs w:val="28"/>
          <w:highlight w:val="none"/>
          <w:lang w:val="en-US" w:eastAsia="zh-CN"/>
        </w:rPr>
        <w:t>建设完成25</w:t>
      </w:r>
      <w:r>
        <w:rPr>
          <w:rFonts w:hint="eastAsia" w:ascii="仿宋" w:hAnsi="仿宋" w:eastAsia="仿宋" w:cs="仿宋"/>
          <w:color w:val="auto"/>
          <w:sz w:val="28"/>
          <w:szCs w:val="28"/>
          <w:highlight w:val="none"/>
          <w:lang w:val="en-US" w:eastAsia="zh-CN"/>
        </w:rPr>
        <w:t>家涉</w:t>
      </w:r>
      <w:r>
        <w:rPr>
          <w:rFonts w:hint="eastAsia" w:ascii="仿宋" w:hAnsi="仿宋" w:cs="仿宋"/>
          <w:color w:val="auto"/>
          <w:sz w:val="28"/>
          <w:szCs w:val="28"/>
          <w:highlight w:val="none"/>
          <w:lang w:val="en-US" w:eastAsia="zh-CN"/>
        </w:rPr>
        <w:t>VOCs</w:t>
      </w:r>
      <w:r>
        <w:rPr>
          <w:rFonts w:hint="eastAsia" w:ascii="仿宋" w:hAnsi="仿宋" w:eastAsia="仿宋" w:cs="仿宋"/>
          <w:color w:val="auto"/>
          <w:sz w:val="28"/>
          <w:szCs w:val="28"/>
          <w:highlight w:val="none"/>
          <w:lang w:val="en-US" w:eastAsia="zh-CN"/>
        </w:rPr>
        <w:t>排放重点工业源部署了</w:t>
      </w:r>
      <w:r>
        <w:rPr>
          <w:rFonts w:hint="eastAsia" w:cs="Times New Roman"/>
          <w:sz w:val="28"/>
          <w:szCs w:val="21"/>
          <w:highlight w:val="none"/>
          <w:lang w:val="en-US" w:eastAsia="zh-CN"/>
        </w:rPr>
        <w:t>污染物排放智能管控可视化系统</w:t>
      </w:r>
      <w:r>
        <w:rPr>
          <w:rFonts w:hint="eastAsia" w:ascii="仿宋" w:hAnsi="仿宋" w:eastAsia="仿宋" w:cs="仿宋"/>
          <w:color w:val="auto"/>
          <w:sz w:val="28"/>
          <w:szCs w:val="28"/>
          <w:highlight w:val="none"/>
          <w:lang w:val="en-US" w:eastAsia="zh-CN"/>
        </w:rPr>
        <w:t>，</w:t>
      </w:r>
      <w:r>
        <w:rPr>
          <w:rFonts w:hint="eastAsia" w:ascii="仿宋" w:hAnsi="仿宋" w:cs="仿宋"/>
          <w:color w:val="auto"/>
          <w:sz w:val="28"/>
          <w:szCs w:val="28"/>
          <w:highlight w:val="none"/>
          <w:lang w:val="en-US" w:eastAsia="zh-CN"/>
        </w:rPr>
        <w:t>可监控VOCs污染物产生量5720.98吨，占全市VOCs污染物总产生量的18.8%；同时系统还对全市年VOCs污染物产生量大于10吨小于50吨的59家</w:t>
      </w:r>
      <w:r>
        <w:rPr>
          <w:rFonts w:hint="eastAsia" w:ascii="仿宋" w:hAnsi="仿宋" w:eastAsia="仿宋" w:cs="仿宋"/>
          <w:color w:val="auto"/>
          <w:sz w:val="28"/>
          <w:szCs w:val="28"/>
          <w:highlight w:val="none"/>
          <w:lang w:val="en-US" w:eastAsia="zh-CN"/>
        </w:rPr>
        <w:t>重点工业源</w:t>
      </w:r>
      <w:r>
        <w:rPr>
          <w:rFonts w:hint="eastAsia" w:ascii="仿宋" w:hAnsi="仿宋" w:cs="仿宋"/>
          <w:color w:val="auto"/>
          <w:sz w:val="28"/>
          <w:szCs w:val="28"/>
          <w:highlight w:val="none"/>
          <w:lang w:val="en-US" w:eastAsia="zh-CN"/>
        </w:rPr>
        <w:t>进行监控，可监控VOCs污染物产生量1424.16吨，占全市VOCs污染物总产生量的4.69%</w:t>
      </w:r>
      <w:r>
        <w:rPr>
          <w:rFonts w:hint="eastAsia" w:ascii="仿宋" w:hAnsi="仿宋" w:eastAsia="仿宋" w:cs="仿宋"/>
          <w:color w:val="auto"/>
          <w:sz w:val="28"/>
          <w:szCs w:val="28"/>
          <w:highlight w:val="none"/>
          <w:lang w:val="en-US" w:eastAsia="zh-CN"/>
        </w:rPr>
        <w:t>。通过系统建设实现了排污单位24小时实时非现场监管，监管内容包含了应急管控预案落实线上检查、</w:t>
      </w:r>
      <w:r>
        <w:rPr>
          <w:rFonts w:hint="eastAsia" w:ascii="仿宋" w:hAnsi="仿宋" w:cs="仿宋"/>
          <w:color w:val="auto"/>
          <w:sz w:val="28"/>
          <w:szCs w:val="28"/>
          <w:highlight w:val="none"/>
          <w:lang w:val="en-US" w:eastAsia="zh-CN"/>
        </w:rPr>
        <w:t>高温时段错峰生产</w:t>
      </w:r>
      <w:r>
        <w:rPr>
          <w:rFonts w:hint="eastAsia" w:ascii="仿宋" w:hAnsi="仿宋" w:eastAsia="仿宋" w:cs="仿宋"/>
          <w:color w:val="auto"/>
          <w:sz w:val="28"/>
          <w:szCs w:val="28"/>
          <w:highlight w:val="none"/>
          <w:lang w:val="en-US" w:eastAsia="zh-CN"/>
        </w:rPr>
        <w:t>线上督办、治理设施运行有效性线上核查、码上换碳、无组织排放密闭性线上监控等功能，精准</w:t>
      </w:r>
      <w:r>
        <w:rPr>
          <w:rFonts w:hint="eastAsia" w:ascii="仿宋" w:hAnsi="仿宋" w:cs="仿宋"/>
          <w:color w:val="auto"/>
          <w:sz w:val="28"/>
          <w:szCs w:val="28"/>
          <w:highlight w:val="none"/>
          <w:lang w:val="en-US" w:eastAsia="zh-CN"/>
        </w:rPr>
        <w:t>管控VOCs可控</w:t>
      </w:r>
      <w:r>
        <w:rPr>
          <w:rFonts w:hint="eastAsia" w:ascii="仿宋" w:hAnsi="仿宋" w:eastAsia="仿宋" w:cs="仿宋"/>
          <w:color w:val="auto"/>
          <w:sz w:val="28"/>
          <w:szCs w:val="28"/>
          <w:highlight w:val="none"/>
          <w:lang w:val="en-US" w:eastAsia="zh-CN"/>
        </w:rPr>
        <w:t>排量。</w:t>
      </w:r>
    </w:p>
    <w:p w14:paraId="368C04F2">
      <w:pPr>
        <w:pStyle w:val="8"/>
        <w:keepNext w:val="0"/>
        <w:keepLines w:val="0"/>
        <w:pageBreakBefore w:val="0"/>
        <w:shd w:val="clear"/>
        <w:kinsoku/>
        <w:wordWrap/>
        <w:overflowPunct/>
        <w:topLinePunct w:val="0"/>
        <w:autoSpaceDE/>
        <w:autoSpaceDN/>
        <w:bidi w:val="0"/>
        <w:adjustRightInd/>
        <w:snapToGrid/>
        <w:spacing w:line="360" w:lineRule="auto"/>
        <w:ind w:left="0"/>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为</w:t>
      </w:r>
      <w:r>
        <w:rPr>
          <w:rFonts w:hint="eastAsia" w:ascii="仿宋" w:hAnsi="仿宋" w:cs="仿宋"/>
          <w:color w:val="auto"/>
          <w:sz w:val="28"/>
          <w:szCs w:val="28"/>
          <w:highlight w:val="none"/>
          <w:lang w:val="en-US" w:eastAsia="zh-CN"/>
        </w:rPr>
        <w:t>延展系统应用覆盖面，实现对全市VOCs产污量高占比的重点污染源全面监管，通过新建（92家）+利旧（84家）项目建设目标最终达成对全保定市VOCs污染物年产生量大于50吨的117</w:t>
      </w:r>
      <w:r>
        <w:rPr>
          <w:rFonts w:hint="eastAsia" w:ascii="仿宋" w:hAnsi="仿宋" w:eastAsia="仿宋" w:cs="仿宋"/>
          <w:color w:val="auto"/>
          <w:sz w:val="28"/>
          <w:szCs w:val="28"/>
          <w:highlight w:val="none"/>
          <w:lang w:val="en-US" w:eastAsia="zh-CN"/>
        </w:rPr>
        <w:t>家重点工业源</w:t>
      </w:r>
      <w:r>
        <w:rPr>
          <w:rFonts w:hint="eastAsia" w:ascii="仿宋" w:hAnsi="仿宋" w:cs="仿宋"/>
          <w:color w:val="auto"/>
          <w:sz w:val="28"/>
          <w:szCs w:val="28"/>
          <w:highlight w:val="none"/>
          <w:lang w:val="en-US" w:eastAsia="zh-CN"/>
        </w:rPr>
        <w:t>、VOCs污染物年产生量大于10吨小于50吨的59家</w:t>
      </w:r>
      <w:r>
        <w:rPr>
          <w:rFonts w:hint="eastAsia" w:ascii="仿宋" w:hAnsi="仿宋" w:eastAsia="仿宋" w:cs="仿宋"/>
          <w:color w:val="auto"/>
          <w:sz w:val="28"/>
          <w:szCs w:val="28"/>
          <w:highlight w:val="none"/>
          <w:lang w:val="en-US" w:eastAsia="zh-CN"/>
        </w:rPr>
        <w:t>重点工业源</w:t>
      </w:r>
      <w:r>
        <w:rPr>
          <w:rFonts w:hint="eastAsia" w:ascii="仿宋" w:hAnsi="仿宋" w:cs="仿宋"/>
          <w:color w:val="auto"/>
          <w:sz w:val="28"/>
          <w:szCs w:val="28"/>
          <w:highlight w:val="none"/>
          <w:lang w:val="en-US" w:eastAsia="zh-CN"/>
        </w:rPr>
        <w:t>的监控，通过对176家涉VOCs工业源监控，可监控VOCs污染物产生量达2313.578吨，占全市VOCs污染物总产生量的76.19%。可基本实现</w:t>
      </w:r>
      <w:r>
        <w:rPr>
          <w:rFonts w:hint="eastAsia" w:ascii="仿宋" w:hAnsi="仿宋" w:eastAsia="仿宋" w:cs="仿宋"/>
          <w:color w:val="auto"/>
          <w:sz w:val="28"/>
          <w:szCs w:val="28"/>
          <w:highlight w:val="none"/>
          <w:lang w:val="en-US" w:eastAsia="zh-CN"/>
        </w:rPr>
        <w:t>对涉</w:t>
      </w:r>
      <w:r>
        <w:rPr>
          <w:rFonts w:hint="eastAsia" w:ascii="仿宋" w:hAnsi="仿宋" w:cs="仿宋"/>
          <w:color w:val="auto"/>
          <w:sz w:val="28"/>
          <w:szCs w:val="28"/>
          <w:highlight w:val="none"/>
          <w:lang w:val="en-US" w:eastAsia="zh-CN"/>
        </w:rPr>
        <w:t>VOCs</w:t>
      </w:r>
      <w:r>
        <w:rPr>
          <w:rFonts w:hint="eastAsia" w:ascii="仿宋" w:hAnsi="仿宋" w:eastAsia="仿宋" w:cs="仿宋"/>
          <w:color w:val="auto"/>
          <w:sz w:val="28"/>
          <w:szCs w:val="28"/>
          <w:highlight w:val="none"/>
          <w:lang w:val="en-US" w:eastAsia="zh-CN"/>
        </w:rPr>
        <w:t>排放重点工业源全覆盖</w:t>
      </w:r>
      <w:r>
        <w:rPr>
          <w:rFonts w:hint="eastAsia" w:ascii="仿宋" w:hAnsi="仿宋" w:cs="仿宋"/>
          <w:color w:val="auto"/>
          <w:sz w:val="28"/>
          <w:szCs w:val="28"/>
          <w:highlight w:val="none"/>
          <w:lang w:val="en-US" w:eastAsia="zh-CN"/>
        </w:rPr>
        <w:t>式</w:t>
      </w:r>
      <w:r>
        <w:rPr>
          <w:rFonts w:hint="eastAsia" w:ascii="仿宋" w:hAnsi="仿宋" w:eastAsia="仿宋" w:cs="仿宋"/>
          <w:color w:val="auto"/>
          <w:sz w:val="28"/>
          <w:szCs w:val="28"/>
          <w:highlight w:val="none"/>
          <w:lang w:val="en-US" w:eastAsia="zh-CN"/>
        </w:rPr>
        <w:t>精细化监管。</w:t>
      </w:r>
    </w:p>
    <w:p w14:paraId="1E55F3FC">
      <w:pPr>
        <w:pStyle w:val="8"/>
        <w:keepNext w:val="0"/>
        <w:keepLines w:val="0"/>
        <w:pageBreakBefore w:val="0"/>
        <w:widowControl w:val="0"/>
        <w:shd w:val="clear"/>
        <w:kinsoku/>
        <w:wordWrap/>
        <w:overflowPunct/>
        <w:topLinePunct w:val="0"/>
        <w:autoSpaceDE/>
        <w:autoSpaceDN/>
        <w:bidi w:val="0"/>
        <w:adjustRightInd/>
        <w:snapToGrid/>
        <w:textAlignment w:val="auto"/>
        <w:outlineLvl w:val="0"/>
        <w:rPr>
          <w:rFonts w:hint="default" w:ascii="黑体" w:hAnsi="黑体" w:eastAsia="黑体" w:cs="黑体"/>
          <w:b w:val="0"/>
          <w:bCs w:val="0"/>
          <w:sz w:val="32"/>
          <w:szCs w:val="22"/>
          <w:highlight w:val="none"/>
          <w:lang w:val="en-US" w:eastAsia="zh-CN"/>
        </w:rPr>
      </w:pPr>
      <w:bookmarkStart w:id="15" w:name="_Toc18482"/>
      <w:r>
        <w:rPr>
          <w:rFonts w:hint="eastAsia" w:ascii="黑体" w:hAnsi="黑体" w:eastAsia="黑体" w:cs="黑体"/>
          <w:b w:val="0"/>
          <w:bCs w:val="0"/>
          <w:sz w:val="32"/>
          <w:szCs w:val="22"/>
          <w:highlight w:val="none"/>
          <w:lang w:val="en-US" w:eastAsia="zh-CN"/>
        </w:rPr>
        <w:t>四、项目概况</w:t>
      </w:r>
      <w:bookmarkEnd w:id="15"/>
    </w:p>
    <w:p w14:paraId="54ECFCB7">
      <w:pPr>
        <w:pStyle w:val="8"/>
        <w:keepNext w:val="0"/>
        <w:keepLines w:val="0"/>
        <w:pageBreakBefore w:val="0"/>
        <w:widowControl w:val="0"/>
        <w:shd w:val="clear"/>
        <w:kinsoku/>
        <w:wordWrap/>
        <w:overflowPunct/>
        <w:topLinePunct w:val="0"/>
        <w:autoSpaceDE/>
        <w:autoSpaceDN/>
        <w:bidi w:val="0"/>
        <w:adjustRightInd/>
        <w:snapToGrid/>
        <w:textAlignment w:val="auto"/>
        <w:outlineLvl w:val="1"/>
        <w:rPr>
          <w:rFonts w:hint="default" w:ascii="宋体" w:hAnsi="宋体" w:eastAsia="宋体" w:cs="宋体"/>
          <w:b/>
          <w:bCs/>
          <w:sz w:val="28"/>
          <w:szCs w:val="21"/>
          <w:highlight w:val="none"/>
          <w:lang w:val="en-US" w:eastAsia="zh-CN"/>
        </w:rPr>
      </w:pPr>
      <w:bookmarkStart w:id="16" w:name="_Toc12433"/>
      <w:r>
        <w:rPr>
          <w:rFonts w:hint="eastAsia" w:ascii="宋体" w:hAnsi="宋体" w:eastAsia="宋体" w:cs="宋体"/>
          <w:b/>
          <w:bCs/>
          <w:sz w:val="28"/>
          <w:szCs w:val="21"/>
          <w:highlight w:val="none"/>
          <w:lang w:val="en-US" w:eastAsia="zh-CN"/>
        </w:rPr>
        <w:t>4.1建设内容</w:t>
      </w:r>
      <w:bookmarkEnd w:id="16"/>
    </w:p>
    <w:p w14:paraId="0DBAE99F">
      <w:pPr>
        <w:pStyle w:val="8"/>
        <w:shd w:val="clear"/>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结合</w:t>
      </w:r>
      <w:r>
        <w:rPr>
          <w:rFonts w:hint="eastAsia" w:cs="Times New Roman"/>
          <w:sz w:val="28"/>
          <w:szCs w:val="21"/>
          <w:highlight w:val="none"/>
          <w:lang w:val="en-US" w:eastAsia="zh-CN"/>
        </w:rPr>
        <w:t>我市VOCs排放重点</w:t>
      </w:r>
      <w:r>
        <w:rPr>
          <w:rFonts w:hint="eastAsia" w:ascii="Times New Roman" w:hAnsi="Times New Roman" w:cs="Times New Roman"/>
          <w:sz w:val="28"/>
          <w:szCs w:val="21"/>
          <w:highlight w:val="none"/>
          <w:lang w:val="en-US" w:eastAsia="zh-CN"/>
        </w:rPr>
        <w:t>区域工业源分布特点，建设“</w:t>
      </w:r>
      <w:r>
        <w:rPr>
          <w:rFonts w:hint="eastAsia" w:cs="Times New Roman"/>
          <w:sz w:val="28"/>
          <w:szCs w:val="21"/>
          <w:highlight w:val="none"/>
          <w:lang w:val="en-US" w:eastAsia="zh-CN"/>
        </w:rPr>
        <w:t>保定市污染物排放智能管控可视化系统项目</w:t>
      </w:r>
      <w:r>
        <w:rPr>
          <w:rFonts w:hint="eastAsia" w:ascii="Times New Roman" w:hAnsi="Times New Roman" w:cs="Times New Roman"/>
          <w:sz w:val="28"/>
          <w:szCs w:val="21"/>
          <w:highlight w:val="none"/>
          <w:lang w:val="en-US" w:eastAsia="zh-CN"/>
        </w:rPr>
        <w:t>”。利用信息化技术进行科学有效的系统数据分析与功能呈现，形成实行有效的全过程环保管理措施，保障大气污染防治等监测监管措施持续发挥作用，促进环境质量改善。对于区域内工业源监管，保证保持原有的治理水平，监控到位，实现对企业产污、治污的过程追溯管理，并与区域内空气站环境数据进行联动。</w:t>
      </w:r>
    </w:p>
    <w:p w14:paraId="1E34B2FD">
      <w:pPr>
        <w:pStyle w:val="8"/>
        <w:shd w:val="clear"/>
        <w:rPr>
          <w:rFonts w:hint="default" w:ascii="Times New Roman" w:hAnsi="Times New Roman" w:eastAsia="仿宋" w:cs="Times New Roman"/>
          <w:sz w:val="28"/>
          <w:szCs w:val="21"/>
          <w:highlight w:val="none"/>
          <w:lang w:val="en-US" w:eastAsia="zh-CN"/>
        </w:rPr>
      </w:pPr>
      <w:r>
        <w:rPr>
          <w:rFonts w:hint="eastAsia" w:ascii="Times New Roman" w:hAnsi="Times New Roman" w:cs="Times New Roman"/>
          <w:sz w:val="28"/>
          <w:szCs w:val="21"/>
          <w:highlight w:val="none"/>
          <w:lang w:val="en-US" w:eastAsia="zh-CN"/>
        </w:rPr>
        <w:t>本项目包含“1+N”监管模式，一体化推进突出生态环境问题整改。“1”表示现有智慧环保管理平台、“N”表示针对区域主要</w:t>
      </w:r>
      <w:r>
        <w:rPr>
          <w:rFonts w:hint="eastAsia" w:cs="Times New Roman"/>
          <w:sz w:val="28"/>
          <w:szCs w:val="21"/>
          <w:highlight w:val="none"/>
          <w:lang w:val="en-US" w:eastAsia="zh-CN"/>
        </w:rPr>
        <w:t>涉VOCs</w:t>
      </w:r>
      <w:r>
        <w:rPr>
          <w:rFonts w:hint="eastAsia" w:ascii="Times New Roman" w:hAnsi="Times New Roman" w:cs="Times New Roman"/>
          <w:sz w:val="28"/>
          <w:szCs w:val="21"/>
          <w:highlight w:val="none"/>
          <w:lang w:val="en-US" w:eastAsia="zh-CN"/>
        </w:rPr>
        <w:t>工业源安装</w:t>
      </w:r>
      <w:r>
        <w:rPr>
          <w:rFonts w:hint="eastAsia" w:cs="Times New Roman"/>
          <w:sz w:val="28"/>
          <w:szCs w:val="21"/>
          <w:highlight w:val="none"/>
          <w:lang w:val="en-US" w:eastAsia="zh-CN"/>
        </w:rPr>
        <w:t>92套智能数据边缘计算采集站</w:t>
      </w:r>
      <w:r>
        <w:rPr>
          <w:rFonts w:hint="eastAsia" w:ascii="Times New Roman" w:hAnsi="Times New Roman" w:cs="Times New Roman"/>
          <w:sz w:val="28"/>
          <w:szCs w:val="21"/>
          <w:highlight w:val="none"/>
          <w:lang w:val="en-US" w:eastAsia="zh-CN"/>
        </w:rPr>
        <w:t>，</w:t>
      </w:r>
      <w:r>
        <w:rPr>
          <w:rFonts w:hint="eastAsia" w:cs="Times New Roman"/>
          <w:sz w:val="28"/>
          <w:szCs w:val="21"/>
          <w:highlight w:val="none"/>
          <w:lang w:val="en-US" w:eastAsia="zh-CN"/>
        </w:rPr>
        <w:t>324套工业数据边缘计算箱</w:t>
      </w:r>
      <w:r>
        <w:rPr>
          <w:rFonts w:hint="eastAsia" w:ascii="Times New Roman" w:hAnsi="Times New Roman" w:cs="Times New Roman"/>
          <w:sz w:val="28"/>
          <w:szCs w:val="21"/>
          <w:highlight w:val="none"/>
          <w:lang w:val="en-US" w:eastAsia="zh-CN"/>
        </w:rPr>
        <w:t>。</w:t>
      </w:r>
    </w:p>
    <w:p w14:paraId="65C344D3">
      <w:pPr>
        <w:pStyle w:val="8"/>
        <w:keepNext w:val="0"/>
        <w:keepLines w:val="0"/>
        <w:pageBreakBefore w:val="0"/>
        <w:widowControl w:val="0"/>
        <w:shd w:val="clear"/>
        <w:kinsoku/>
        <w:wordWrap/>
        <w:overflowPunct/>
        <w:topLinePunct w:val="0"/>
        <w:autoSpaceDE/>
        <w:autoSpaceDN/>
        <w:bidi w:val="0"/>
        <w:adjustRightInd/>
        <w:snapToGrid/>
        <w:textAlignment w:val="auto"/>
        <w:outlineLvl w:val="1"/>
        <w:rPr>
          <w:rFonts w:hint="default" w:ascii="宋体" w:hAnsi="宋体" w:eastAsia="宋体" w:cs="宋体"/>
          <w:b/>
          <w:bCs/>
          <w:sz w:val="28"/>
          <w:szCs w:val="21"/>
          <w:highlight w:val="none"/>
          <w:lang w:val="en-US" w:eastAsia="zh-CN"/>
        </w:rPr>
      </w:pPr>
      <w:bookmarkStart w:id="17" w:name="_Toc32571"/>
      <w:r>
        <w:rPr>
          <w:rFonts w:hint="eastAsia" w:ascii="宋体" w:hAnsi="宋体" w:eastAsia="宋体" w:cs="宋体"/>
          <w:b/>
          <w:bCs/>
          <w:sz w:val="28"/>
          <w:szCs w:val="21"/>
          <w:highlight w:val="none"/>
          <w:lang w:val="en-US" w:eastAsia="zh-CN"/>
        </w:rPr>
        <w:t>4.2建设地点</w:t>
      </w:r>
      <w:bookmarkEnd w:id="17"/>
    </w:p>
    <w:p w14:paraId="4E217474">
      <w:pPr>
        <w:pStyle w:val="8"/>
        <w:shd w:val="clear"/>
        <w:rPr>
          <w:rFonts w:hint="default"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本项目建设地点位于</w:t>
      </w:r>
      <w:r>
        <w:rPr>
          <w:rFonts w:hint="eastAsia" w:cs="Times New Roman"/>
          <w:sz w:val="28"/>
          <w:szCs w:val="21"/>
          <w:highlight w:val="none"/>
          <w:lang w:val="en-US" w:eastAsia="zh-CN"/>
        </w:rPr>
        <w:t>保定市涉VOCs排放重点</w:t>
      </w:r>
      <w:r>
        <w:rPr>
          <w:rFonts w:hint="eastAsia" w:ascii="Times New Roman" w:hAnsi="Times New Roman" w:cs="Times New Roman"/>
          <w:sz w:val="28"/>
          <w:szCs w:val="21"/>
          <w:highlight w:val="none"/>
          <w:lang w:val="en-US" w:eastAsia="zh-CN"/>
        </w:rPr>
        <w:t>区域内。</w:t>
      </w:r>
      <w:r>
        <w:rPr>
          <w:rFonts w:hint="eastAsia" w:cs="Times New Roman"/>
          <w:sz w:val="28"/>
          <w:szCs w:val="21"/>
          <w:highlight w:val="none"/>
          <w:lang w:val="en-US" w:eastAsia="zh-CN"/>
        </w:rPr>
        <w:t>包含保定市区域内92家涉VOCs</w:t>
      </w:r>
      <w:r>
        <w:rPr>
          <w:rFonts w:hint="eastAsia" w:ascii="Times New Roman" w:hAnsi="Times New Roman" w:cs="Times New Roman"/>
          <w:sz w:val="28"/>
          <w:szCs w:val="21"/>
          <w:highlight w:val="none"/>
          <w:lang w:val="en-US" w:eastAsia="zh-CN"/>
        </w:rPr>
        <w:t>工业源</w:t>
      </w:r>
      <w:r>
        <w:rPr>
          <w:rFonts w:hint="eastAsia" w:cs="Times New Roman"/>
          <w:sz w:val="28"/>
          <w:szCs w:val="21"/>
          <w:highlight w:val="none"/>
          <w:lang w:val="en-US" w:eastAsia="zh-CN"/>
        </w:rPr>
        <w:t>全覆盖</w:t>
      </w:r>
      <w:r>
        <w:rPr>
          <w:rFonts w:hint="eastAsia" w:ascii="Times New Roman" w:hAnsi="Times New Roman" w:cs="Times New Roman"/>
          <w:sz w:val="28"/>
          <w:szCs w:val="21"/>
          <w:highlight w:val="none"/>
          <w:lang w:val="en-US" w:eastAsia="zh-CN"/>
        </w:rPr>
        <w:t>。</w:t>
      </w:r>
    </w:p>
    <w:p w14:paraId="2BC08A72">
      <w:pPr>
        <w:pStyle w:val="8"/>
        <w:keepNext w:val="0"/>
        <w:keepLines w:val="0"/>
        <w:pageBreakBefore w:val="0"/>
        <w:widowControl w:val="0"/>
        <w:shd w:val="clear"/>
        <w:kinsoku/>
        <w:wordWrap/>
        <w:overflowPunct/>
        <w:topLinePunct w:val="0"/>
        <w:autoSpaceDE/>
        <w:autoSpaceDN/>
        <w:bidi w:val="0"/>
        <w:adjustRightInd/>
        <w:snapToGrid/>
        <w:textAlignment w:val="auto"/>
        <w:outlineLvl w:val="1"/>
        <w:rPr>
          <w:rFonts w:hint="eastAsia" w:ascii="宋体" w:hAnsi="宋体" w:eastAsia="宋体" w:cs="宋体"/>
          <w:b/>
          <w:bCs/>
          <w:sz w:val="28"/>
          <w:szCs w:val="21"/>
          <w:highlight w:val="none"/>
          <w:lang w:val="en-US" w:eastAsia="zh-CN"/>
        </w:rPr>
      </w:pPr>
      <w:bookmarkStart w:id="18" w:name="_Toc12445"/>
      <w:r>
        <w:rPr>
          <w:rFonts w:hint="eastAsia" w:ascii="宋体" w:hAnsi="宋体" w:eastAsia="宋体" w:cs="宋体"/>
          <w:b/>
          <w:bCs/>
          <w:sz w:val="28"/>
          <w:szCs w:val="21"/>
          <w:highlight w:val="none"/>
          <w:lang w:val="en-US" w:eastAsia="zh-CN"/>
        </w:rPr>
        <w:t>4.3建设目标</w:t>
      </w:r>
      <w:bookmarkEnd w:id="18"/>
    </w:p>
    <w:p w14:paraId="02CE6CFA">
      <w:pPr>
        <w:pStyle w:val="8"/>
        <w:keepNext w:val="0"/>
        <w:keepLines w:val="0"/>
        <w:pageBreakBefore w:val="0"/>
        <w:shd w:val="clear"/>
        <w:kinsoku/>
        <w:wordWrap/>
        <w:overflowPunct/>
        <w:topLinePunct w:val="0"/>
        <w:bidi w:val="0"/>
        <w:adjustRightInd/>
        <w:spacing w:line="360" w:lineRule="auto"/>
        <w:ind w:left="120" w:leftChars="50" w:right="120" w:rightChars="50"/>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本项目的建设目标主要包含以下几个方面：</w:t>
      </w:r>
    </w:p>
    <w:p w14:paraId="32E68D07">
      <w:pPr>
        <w:keepNext w:val="0"/>
        <w:keepLines w:val="0"/>
        <w:pageBreakBefore w:val="0"/>
        <w:widowControl/>
        <w:kinsoku/>
        <w:wordWrap/>
        <w:overflowPunct/>
        <w:topLinePunct w:val="0"/>
        <w:bidi w:val="0"/>
        <w:adjustRightInd/>
        <w:snapToGrid w:val="0"/>
        <w:spacing w:line="360" w:lineRule="auto"/>
        <w:ind w:left="120" w:leftChars="50" w:right="120" w:rightChars="50" w:firstLine="560" w:firstLineChars="200"/>
        <w:textAlignment w:val="baseline"/>
        <w:rPr>
          <w:rFonts w:hint="eastAsia" w:ascii="仿宋" w:hAnsi="仿宋" w:eastAsia="仿宋" w:cs="仿宋"/>
          <w:bCs/>
          <w:sz w:val="28"/>
          <w:szCs w:val="28"/>
          <w:highlight w:val="none"/>
          <w:lang w:val="en-US" w:eastAsia="zh-CN"/>
        </w:rPr>
      </w:pPr>
      <w:r>
        <w:rPr>
          <w:rFonts w:hint="eastAsia" w:ascii="Times New Roman" w:hAnsi="Times New Roman" w:cs="Times New Roman"/>
          <w:sz w:val="28"/>
          <w:szCs w:val="21"/>
          <w:highlight w:val="none"/>
          <w:lang w:val="en-US" w:eastAsia="zh-CN"/>
        </w:rPr>
        <w:t>（</w:t>
      </w:r>
      <w:r>
        <w:rPr>
          <w:rFonts w:hint="eastAsia" w:ascii="仿宋" w:hAnsi="仿宋" w:eastAsia="仿宋" w:cs="仿宋"/>
          <w:sz w:val="28"/>
          <w:szCs w:val="28"/>
          <w:highlight w:val="none"/>
          <w:lang w:val="en-US" w:eastAsia="zh-CN"/>
        </w:rPr>
        <w:t>1）</w:t>
      </w:r>
      <w:r>
        <w:rPr>
          <w:rFonts w:hint="eastAsia" w:ascii="仿宋" w:hAnsi="仿宋" w:eastAsia="仿宋" w:cs="仿宋"/>
          <w:bCs/>
          <w:sz w:val="28"/>
          <w:szCs w:val="28"/>
          <w:highlight w:val="none"/>
        </w:rPr>
        <w:t>通过对全市</w:t>
      </w:r>
      <w:r>
        <w:rPr>
          <w:rFonts w:hint="eastAsia" w:ascii="仿宋" w:hAnsi="仿宋" w:cs="仿宋"/>
          <w:bCs/>
          <w:sz w:val="28"/>
          <w:szCs w:val="28"/>
          <w:highlight w:val="none"/>
          <w:lang w:eastAsia="zh-CN"/>
        </w:rPr>
        <w:t>VOCs</w:t>
      </w:r>
      <w:r>
        <w:rPr>
          <w:rFonts w:hint="eastAsia" w:ascii="仿宋" w:hAnsi="仿宋" w:eastAsia="仿宋" w:cs="仿宋"/>
          <w:bCs/>
          <w:sz w:val="28"/>
          <w:szCs w:val="28"/>
          <w:highlight w:val="none"/>
        </w:rPr>
        <w:t>污染物排放量占比71.5%的117家重点企业</w:t>
      </w:r>
      <w:r>
        <w:rPr>
          <w:rFonts w:hint="eastAsia" w:ascii="仿宋" w:hAnsi="仿宋" w:eastAsia="仿宋" w:cs="仿宋"/>
          <w:bCs/>
          <w:sz w:val="28"/>
          <w:szCs w:val="28"/>
          <w:highlight w:val="none"/>
          <w:lang w:val="en-US" w:eastAsia="zh-CN"/>
        </w:rPr>
        <w:t>的</w:t>
      </w:r>
      <w:r>
        <w:rPr>
          <w:rFonts w:hint="eastAsia" w:ascii="仿宋" w:hAnsi="仿宋" w:eastAsia="仿宋" w:cs="仿宋"/>
          <w:bCs/>
          <w:sz w:val="28"/>
          <w:szCs w:val="28"/>
          <w:highlight w:val="none"/>
        </w:rPr>
        <w:t>全方位监控、精准配额，实现对全市</w:t>
      </w:r>
      <w:r>
        <w:rPr>
          <w:rFonts w:hint="eastAsia" w:ascii="仿宋" w:hAnsi="仿宋" w:eastAsia="仿宋" w:cs="仿宋"/>
          <w:bCs/>
          <w:sz w:val="28"/>
          <w:szCs w:val="28"/>
          <w:highlight w:val="none"/>
          <w:lang w:val="en-US" w:eastAsia="zh-CN"/>
        </w:rPr>
        <w:t>AQI综指关联因子“臭氧”产生前体物（</w:t>
      </w:r>
      <w:r>
        <w:rPr>
          <w:rFonts w:hint="eastAsia" w:ascii="仿宋" w:hAnsi="仿宋" w:cs="仿宋"/>
          <w:bCs/>
          <w:sz w:val="28"/>
          <w:szCs w:val="28"/>
          <w:highlight w:val="none"/>
          <w:lang w:eastAsia="zh-CN"/>
        </w:rPr>
        <w:t>VOCs</w:t>
      </w:r>
      <w:r>
        <w:rPr>
          <w:rFonts w:hint="eastAsia" w:ascii="仿宋" w:hAnsi="仿宋" w:eastAsia="仿宋" w:cs="仿宋"/>
          <w:bCs/>
          <w:sz w:val="28"/>
          <w:szCs w:val="28"/>
          <w:highlight w:val="none"/>
          <w:lang w:eastAsia="zh-CN"/>
        </w:rPr>
        <w:t>）</w:t>
      </w:r>
      <w:r>
        <w:rPr>
          <w:rFonts w:hint="eastAsia" w:ascii="仿宋" w:hAnsi="仿宋" w:eastAsia="仿宋" w:cs="仿宋"/>
          <w:bCs/>
          <w:sz w:val="28"/>
          <w:szCs w:val="28"/>
          <w:highlight w:val="none"/>
          <w:lang w:val="en-US" w:eastAsia="zh-CN"/>
        </w:rPr>
        <w:t>总量</w:t>
      </w:r>
      <w:r>
        <w:rPr>
          <w:rFonts w:hint="eastAsia" w:ascii="仿宋" w:hAnsi="仿宋" w:eastAsia="仿宋" w:cs="仿宋"/>
          <w:bCs/>
          <w:sz w:val="28"/>
          <w:szCs w:val="28"/>
          <w:highlight w:val="none"/>
        </w:rPr>
        <w:t>减排</w:t>
      </w:r>
      <w:r>
        <w:rPr>
          <w:rFonts w:hint="eastAsia" w:ascii="仿宋" w:hAnsi="仿宋" w:eastAsia="仿宋" w:cs="仿宋"/>
          <w:bCs/>
          <w:sz w:val="28"/>
          <w:szCs w:val="28"/>
          <w:highlight w:val="none"/>
          <w:lang w:eastAsia="zh-CN"/>
        </w:rPr>
        <w:t>、</w:t>
      </w:r>
      <w:r>
        <w:rPr>
          <w:rFonts w:hint="eastAsia" w:ascii="仿宋" w:hAnsi="仿宋" w:eastAsia="仿宋" w:cs="仿宋"/>
          <w:bCs/>
          <w:sz w:val="28"/>
          <w:szCs w:val="28"/>
          <w:highlight w:val="none"/>
          <w:lang w:val="en-US" w:eastAsia="zh-CN"/>
        </w:rPr>
        <w:t>错峰减排的减排量精准核算</w:t>
      </w:r>
      <w:r>
        <w:rPr>
          <w:rFonts w:hint="eastAsia" w:ascii="仿宋" w:hAnsi="仿宋" w:eastAsia="仿宋" w:cs="仿宋"/>
          <w:bCs/>
          <w:sz w:val="28"/>
          <w:szCs w:val="28"/>
          <w:highlight w:val="none"/>
        </w:rPr>
        <w:t>管理</w:t>
      </w:r>
      <w:r>
        <w:rPr>
          <w:rFonts w:hint="eastAsia" w:ascii="仿宋" w:hAnsi="仿宋" w:cs="仿宋"/>
          <w:bCs/>
          <w:sz w:val="28"/>
          <w:szCs w:val="28"/>
          <w:highlight w:val="none"/>
          <w:lang w:eastAsia="zh-CN"/>
        </w:rPr>
        <w:t>，推动</w:t>
      </w:r>
      <w:r>
        <w:rPr>
          <w:rFonts w:hint="eastAsia" w:ascii="仿宋" w:hAnsi="仿宋" w:cs="仿宋"/>
          <w:bCs/>
          <w:sz w:val="28"/>
          <w:szCs w:val="28"/>
          <w:highlight w:val="none"/>
          <w:lang w:val="en-US" w:eastAsia="zh-CN"/>
        </w:rPr>
        <w:t>我</w:t>
      </w:r>
      <w:r>
        <w:rPr>
          <w:rFonts w:hint="eastAsia" w:ascii="仿宋" w:hAnsi="仿宋" w:eastAsia="仿宋" w:cs="仿宋"/>
          <w:bCs/>
          <w:sz w:val="28"/>
          <w:szCs w:val="28"/>
          <w:highlight w:val="none"/>
          <w:lang w:val="en-US" w:eastAsia="zh-CN"/>
        </w:rPr>
        <w:t>市年度减排目标的</w:t>
      </w:r>
      <w:r>
        <w:rPr>
          <w:rFonts w:hint="eastAsia" w:ascii="仿宋" w:hAnsi="仿宋" w:cs="仿宋"/>
          <w:bCs/>
          <w:sz w:val="28"/>
          <w:szCs w:val="28"/>
          <w:highlight w:val="none"/>
          <w:lang w:val="en-US" w:eastAsia="zh-CN"/>
        </w:rPr>
        <w:t>顺利</w:t>
      </w:r>
      <w:r>
        <w:rPr>
          <w:rFonts w:hint="eastAsia" w:ascii="仿宋" w:hAnsi="仿宋" w:eastAsia="仿宋" w:cs="仿宋"/>
          <w:bCs/>
          <w:sz w:val="28"/>
          <w:szCs w:val="28"/>
          <w:highlight w:val="none"/>
          <w:lang w:val="en-US" w:eastAsia="zh-CN"/>
        </w:rPr>
        <w:t>达成。</w:t>
      </w:r>
    </w:p>
    <w:p w14:paraId="79744311">
      <w:pPr>
        <w:pStyle w:val="24"/>
        <w:keepNext w:val="0"/>
        <w:keepLines w:val="0"/>
        <w:pageBreakBefore w:val="0"/>
        <w:shd w:val="clear"/>
        <w:kinsoku/>
        <w:wordWrap/>
        <w:overflowPunct/>
        <w:topLinePunct w:val="0"/>
        <w:bidi w:val="0"/>
        <w:adjustRightInd/>
        <w:spacing w:line="360" w:lineRule="auto"/>
        <w:ind w:left="120" w:leftChars="50" w:right="120" w:rightChars="50" w:firstLine="560" w:firstLineChars="200"/>
        <w:rPr>
          <w:rFonts w:hint="eastAsia" w:ascii="仿宋" w:hAnsi="仿宋" w:eastAsia="仿宋" w:cs="仿宋"/>
          <w:kern w:val="2"/>
          <w:sz w:val="28"/>
          <w:szCs w:val="28"/>
          <w:highlight w:val="none"/>
          <w:lang w:val="en-GB" w:eastAsia="zh-CN" w:bidi="ar-SA"/>
        </w:rPr>
      </w:pPr>
      <w:r>
        <w:rPr>
          <w:rFonts w:hint="eastAsia" w:ascii="仿宋" w:hAnsi="仿宋" w:eastAsia="仿宋" w:cs="仿宋"/>
          <w:kern w:val="2"/>
          <w:sz w:val="28"/>
          <w:szCs w:val="28"/>
          <w:highlight w:val="none"/>
          <w:lang w:val="en-GB" w:eastAsia="zh-CN" w:bidi="ar-SA"/>
        </w:rPr>
        <w:t>（</w:t>
      </w:r>
      <w:r>
        <w:rPr>
          <w:rFonts w:hint="eastAsia" w:ascii="仿宋" w:hAnsi="仿宋" w:eastAsia="仿宋" w:cs="仿宋"/>
          <w:kern w:val="2"/>
          <w:sz w:val="28"/>
          <w:szCs w:val="28"/>
          <w:highlight w:val="none"/>
          <w:lang w:val="en-US" w:eastAsia="zh-CN" w:bidi="ar-SA"/>
        </w:rPr>
        <w:t>2</w:t>
      </w:r>
      <w:r>
        <w:rPr>
          <w:rFonts w:hint="eastAsia" w:ascii="仿宋" w:hAnsi="仿宋" w:eastAsia="仿宋" w:cs="仿宋"/>
          <w:kern w:val="2"/>
          <w:sz w:val="28"/>
          <w:szCs w:val="28"/>
          <w:highlight w:val="none"/>
          <w:lang w:val="en-GB" w:eastAsia="zh-CN" w:bidi="ar-SA"/>
        </w:rPr>
        <w:t>）</w:t>
      </w:r>
      <w:r>
        <w:rPr>
          <w:rFonts w:hint="eastAsia" w:ascii="仿宋" w:hAnsi="仿宋" w:eastAsia="仿宋" w:cs="仿宋"/>
          <w:sz w:val="28"/>
          <w:szCs w:val="28"/>
          <w:highlight w:val="none"/>
          <w:lang w:val="en-GB" w:eastAsia="zh-CN"/>
        </w:rPr>
        <w:t>通过项目建设，</w:t>
      </w:r>
      <w:r>
        <w:rPr>
          <w:rFonts w:hint="eastAsia" w:ascii="仿宋" w:hAnsi="仿宋" w:eastAsia="仿宋" w:cs="仿宋"/>
          <w:sz w:val="28"/>
          <w:szCs w:val="28"/>
          <w:highlight w:val="none"/>
          <w:lang w:val="en-US" w:eastAsia="zh-CN"/>
        </w:rPr>
        <w:t>实行区域污染物排放总量控制，结合气象情况，分高温、低温时段（即错峰生产）进行生产排污控制，优化同期排污比例，把排放量精准的分解到每个企业、每套产污设备上，最终实现重污染天气有效消减。</w:t>
      </w:r>
      <w:r>
        <w:rPr>
          <w:rFonts w:hint="eastAsia" w:ascii="仿宋" w:hAnsi="仿宋" w:eastAsia="仿宋" w:cs="仿宋"/>
          <w:bCs/>
          <w:spacing w:val="0"/>
          <w:sz w:val="28"/>
          <w:szCs w:val="28"/>
          <w:highlight w:val="none"/>
          <w:lang w:val="en-US" w:eastAsia="zh-CN"/>
        </w:rPr>
        <w:t>实现减少VOCs污染物产生，有效遏制和降低臭氧污染。</w:t>
      </w:r>
    </w:p>
    <w:p w14:paraId="25CA3CF2">
      <w:pPr>
        <w:keepNext w:val="0"/>
        <w:keepLines w:val="0"/>
        <w:pageBreakBefore w:val="0"/>
        <w:widowControl/>
        <w:kinsoku/>
        <w:wordWrap/>
        <w:overflowPunct/>
        <w:topLinePunct w:val="0"/>
        <w:bidi w:val="0"/>
        <w:adjustRightInd/>
        <w:snapToGrid w:val="0"/>
        <w:spacing w:line="360" w:lineRule="auto"/>
        <w:ind w:left="120" w:leftChars="50" w:right="120" w:rightChars="50" w:firstLine="560" w:firstLineChars="200"/>
        <w:textAlignment w:val="baseline"/>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（3）</w:t>
      </w:r>
      <w:r>
        <w:rPr>
          <w:rFonts w:hint="eastAsia" w:ascii="仿宋" w:hAnsi="仿宋" w:eastAsia="仿宋" w:cs="仿宋"/>
          <w:sz w:val="28"/>
          <w:szCs w:val="28"/>
          <w:highlight w:val="none"/>
          <w:lang w:val="en-US" w:eastAsia="zh-CN"/>
        </w:rPr>
        <w:t>对企业生产设施、污染防治设施运行状态实行24小时不间断监控，有效发现涉</w:t>
      </w:r>
      <w:r>
        <w:rPr>
          <w:rFonts w:hint="eastAsia" w:ascii="仿宋" w:hAnsi="仿宋" w:cs="仿宋"/>
          <w:sz w:val="28"/>
          <w:szCs w:val="28"/>
          <w:highlight w:val="none"/>
          <w:lang w:val="en-US" w:eastAsia="zh-CN"/>
        </w:rPr>
        <w:t>VOCs</w:t>
      </w:r>
      <w:r>
        <w:rPr>
          <w:rFonts w:hint="eastAsia" w:ascii="仿宋" w:hAnsi="仿宋" w:eastAsia="仿宋" w:cs="仿宋"/>
          <w:sz w:val="28"/>
          <w:szCs w:val="28"/>
          <w:highlight w:val="none"/>
          <w:lang w:val="en-US" w:eastAsia="zh-CN"/>
        </w:rPr>
        <w:t>排污企业污染防治设施闲置、差别化管控、错峰生产调控和重污染天气应急响应落实等问题，助力提升</w:t>
      </w:r>
      <w:r>
        <w:rPr>
          <w:rFonts w:hint="eastAsia" w:ascii="仿宋" w:hAnsi="仿宋" w:cs="仿宋"/>
          <w:sz w:val="28"/>
          <w:szCs w:val="28"/>
          <w:highlight w:val="none"/>
          <w:lang w:val="en-US" w:eastAsia="zh-CN"/>
        </w:rPr>
        <w:t>科学化监管水平</w:t>
      </w:r>
      <w:r>
        <w:rPr>
          <w:rFonts w:hint="eastAsia" w:ascii="仿宋" w:hAnsi="仿宋" w:eastAsia="仿宋" w:cs="仿宋"/>
          <w:sz w:val="28"/>
          <w:szCs w:val="28"/>
          <w:highlight w:val="none"/>
          <w:lang w:val="en-US" w:eastAsia="zh-CN"/>
        </w:rPr>
        <w:t>。</w:t>
      </w:r>
    </w:p>
    <w:p w14:paraId="689A2093">
      <w:pPr>
        <w:pStyle w:val="8"/>
        <w:keepNext w:val="0"/>
        <w:keepLines w:val="0"/>
        <w:pageBreakBefore w:val="0"/>
        <w:shd w:val="clear"/>
        <w:kinsoku/>
        <w:wordWrap/>
        <w:overflowPunct/>
        <w:topLinePunct w:val="0"/>
        <w:bidi w:val="0"/>
        <w:adjustRightInd/>
        <w:spacing w:line="360" w:lineRule="auto"/>
        <w:ind w:left="120" w:leftChars="50" w:right="120" w:rightChars="50" w:firstLine="560" w:firstLineChars="200"/>
        <w:rPr>
          <w:rFonts w:hint="eastAsia" w:ascii="仿宋" w:hAnsi="仿宋" w:eastAsia="仿宋" w:cs="仿宋"/>
          <w:sz w:val="28"/>
          <w:szCs w:val="28"/>
          <w:highlight w:val="none"/>
          <w:lang w:val="en-GB" w:eastAsia="zh-CN"/>
        </w:rPr>
      </w:pPr>
      <w:r>
        <w:rPr>
          <w:rFonts w:hint="eastAsia" w:ascii="仿宋" w:hAnsi="仿宋" w:eastAsia="仿宋" w:cs="仿宋"/>
          <w:sz w:val="28"/>
          <w:szCs w:val="28"/>
          <w:highlight w:val="none"/>
          <w:lang w:val="en-GB" w:eastAsia="zh-CN"/>
        </w:rPr>
        <w:t>（</w:t>
      </w:r>
      <w:r>
        <w:rPr>
          <w:rFonts w:hint="eastAsia" w:ascii="仿宋" w:hAnsi="仿宋" w:eastAsia="仿宋" w:cs="仿宋"/>
          <w:sz w:val="28"/>
          <w:szCs w:val="28"/>
          <w:highlight w:val="none"/>
          <w:lang w:val="en-US" w:eastAsia="zh-CN"/>
        </w:rPr>
        <w:t>4</w:t>
      </w:r>
      <w:r>
        <w:rPr>
          <w:rFonts w:hint="eastAsia" w:ascii="仿宋" w:hAnsi="仿宋" w:eastAsia="仿宋" w:cs="仿宋"/>
          <w:sz w:val="28"/>
          <w:szCs w:val="28"/>
          <w:highlight w:val="none"/>
          <w:lang w:val="en-GB" w:eastAsia="zh-CN"/>
        </w:rPr>
        <w:t>）</w:t>
      </w:r>
      <w:r>
        <w:rPr>
          <w:rFonts w:hint="eastAsia" w:ascii="仿宋" w:hAnsi="仿宋" w:eastAsia="仿宋" w:cs="仿宋"/>
          <w:sz w:val="28"/>
          <w:szCs w:val="28"/>
          <w:highlight w:val="none"/>
          <w:lang w:val="en-US" w:eastAsia="zh-CN"/>
        </w:rPr>
        <w:t>贯彻市委市政府保护营商环境总体要求，按照无事不扰、无据不查的原则。通过系统建设，直接获取监控排污企业治污能力及运转负荷的关键数据，实现对排污单位治污结果和治污效率的全面监管。健全远程监控执法措施和能力，实现涉</w:t>
      </w:r>
      <w:r>
        <w:rPr>
          <w:rFonts w:hint="eastAsia" w:ascii="仿宋" w:hAnsi="仿宋" w:cs="仿宋"/>
          <w:sz w:val="28"/>
          <w:szCs w:val="28"/>
          <w:highlight w:val="none"/>
          <w:lang w:val="en-US" w:eastAsia="zh-CN"/>
        </w:rPr>
        <w:t>VOCs</w:t>
      </w:r>
      <w:r>
        <w:rPr>
          <w:rFonts w:hint="eastAsia" w:ascii="仿宋" w:hAnsi="仿宋" w:eastAsia="仿宋" w:cs="仿宋"/>
          <w:sz w:val="28"/>
          <w:szCs w:val="28"/>
          <w:highlight w:val="none"/>
          <w:lang w:val="en-US" w:eastAsia="zh-CN"/>
        </w:rPr>
        <w:t>类违法排污问题非现场查处。</w:t>
      </w:r>
    </w:p>
    <w:p w14:paraId="42B5D5EB">
      <w:pPr>
        <w:pStyle w:val="8"/>
        <w:keepNext w:val="0"/>
        <w:keepLines w:val="0"/>
        <w:pageBreakBefore w:val="0"/>
        <w:widowControl w:val="0"/>
        <w:shd w:val="clear"/>
        <w:kinsoku/>
        <w:wordWrap/>
        <w:overflowPunct/>
        <w:topLinePunct w:val="0"/>
        <w:autoSpaceDE/>
        <w:autoSpaceDN/>
        <w:bidi w:val="0"/>
        <w:adjustRightInd/>
        <w:snapToGrid/>
        <w:textAlignment w:val="auto"/>
        <w:outlineLvl w:val="1"/>
        <w:rPr>
          <w:rFonts w:hint="default" w:ascii="宋体" w:hAnsi="宋体" w:eastAsia="宋体" w:cs="宋体"/>
          <w:b/>
          <w:bCs/>
          <w:sz w:val="28"/>
          <w:szCs w:val="21"/>
          <w:highlight w:val="none"/>
          <w:lang w:val="en-US" w:eastAsia="zh-CN"/>
        </w:rPr>
      </w:pPr>
      <w:bookmarkStart w:id="19" w:name="_Toc26184"/>
      <w:r>
        <w:rPr>
          <w:rFonts w:hint="eastAsia" w:ascii="宋体" w:hAnsi="宋体" w:eastAsia="宋体" w:cs="宋体"/>
          <w:b/>
          <w:bCs/>
          <w:sz w:val="28"/>
          <w:szCs w:val="21"/>
          <w:highlight w:val="none"/>
          <w:lang w:val="en-US" w:eastAsia="zh-CN"/>
        </w:rPr>
        <w:t>4.4建设期</w:t>
      </w:r>
      <w:bookmarkEnd w:id="19"/>
    </w:p>
    <w:p w14:paraId="2E28BC59">
      <w:pPr>
        <w:pStyle w:val="8"/>
        <w:shd w:val="clear"/>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zh-CN" w:eastAsia="zh-CN"/>
        </w:rPr>
        <w:t>本项目的建设期为</w:t>
      </w:r>
      <w:r>
        <w:rPr>
          <w:rFonts w:hint="eastAsia" w:cs="Times New Roman"/>
          <w:sz w:val="28"/>
          <w:szCs w:val="21"/>
          <w:highlight w:val="none"/>
          <w:lang w:val="en-US" w:eastAsia="zh-CN"/>
        </w:rPr>
        <w:t>5</w:t>
      </w:r>
      <w:r>
        <w:rPr>
          <w:rFonts w:hint="eastAsia" w:ascii="Times New Roman" w:hAnsi="Times New Roman" w:cs="Times New Roman"/>
          <w:sz w:val="28"/>
          <w:szCs w:val="21"/>
          <w:highlight w:val="none"/>
          <w:lang w:val="en-GB" w:eastAsia="zh-CN"/>
        </w:rPr>
        <w:t>个月</w:t>
      </w:r>
      <w:r>
        <w:rPr>
          <w:rFonts w:hint="eastAsia" w:ascii="Times New Roman" w:hAnsi="Times New Roman" w:cs="Times New Roman"/>
          <w:sz w:val="28"/>
          <w:szCs w:val="21"/>
          <w:highlight w:val="none"/>
          <w:lang w:val="zh-CN" w:eastAsia="zh-CN"/>
        </w:rPr>
        <w:t>，从</w:t>
      </w:r>
      <w:r>
        <w:rPr>
          <w:rFonts w:hint="eastAsia" w:ascii="Times New Roman" w:hAnsi="Times New Roman" w:cs="Times New Roman"/>
          <w:sz w:val="28"/>
          <w:szCs w:val="21"/>
          <w:highlight w:val="none"/>
          <w:lang w:val="en-GB" w:eastAsia="zh-CN"/>
        </w:rPr>
        <w:t>202</w:t>
      </w:r>
      <w:r>
        <w:rPr>
          <w:rFonts w:hint="eastAsia" w:ascii="Times New Roman" w:hAnsi="Times New Roman" w:cs="Times New Roman"/>
          <w:sz w:val="28"/>
          <w:szCs w:val="21"/>
          <w:highlight w:val="none"/>
          <w:lang w:val="en-US" w:eastAsia="zh-CN"/>
        </w:rPr>
        <w:t>4</w:t>
      </w:r>
      <w:r>
        <w:rPr>
          <w:rFonts w:hint="eastAsia" w:ascii="Times New Roman" w:hAnsi="Times New Roman" w:cs="Times New Roman"/>
          <w:sz w:val="28"/>
          <w:szCs w:val="21"/>
          <w:highlight w:val="none"/>
          <w:lang w:val="en-GB" w:eastAsia="zh-CN"/>
        </w:rPr>
        <w:t>年</w:t>
      </w:r>
      <w:r>
        <w:rPr>
          <w:rFonts w:hint="eastAsia" w:cs="Times New Roman"/>
          <w:sz w:val="28"/>
          <w:szCs w:val="21"/>
          <w:highlight w:val="none"/>
          <w:lang w:val="en-US" w:eastAsia="zh-CN"/>
        </w:rPr>
        <w:t>7</w:t>
      </w:r>
      <w:r>
        <w:rPr>
          <w:rFonts w:hint="eastAsia" w:ascii="Times New Roman" w:hAnsi="Times New Roman" w:cs="Times New Roman"/>
          <w:sz w:val="28"/>
          <w:szCs w:val="21"/>
          <w:highlight w:val="none"/>
          <w:lang w:val="en-GB" w:eastAsia="zh-CN"/>
        </w:rPr>
        <w:t>月至202</w:t>
      </w:r>
      <w:r>
        <w:rPr>
          <w:rFonts w:hint="eastAsia" w:cs="Times New Roman"/>
          <w:sz w:val="28"/>
          <w:szCs w:val="21"/>
          <w:highlight w:val="none"/>
          <w:lang w:val="en-US" w:eastAsia="zh-CN"/>
        </w:rPr>
        <w:t>4</w:t>
      </w:r>
      <w:r>
        <w:rPr>
          <w:rFonts w:hint="eastAsia" w:ascii="Times New Roman" w:hAnsi="Times New Roman" w:cs="Times New Roman"/>
          <w:sz w:val="28"/>
          <w:szCs w:val="21"/>
          <w:highlight w:val="none"/>
          <w:lang w:val="en-GB" w:eastAsia="zh-CN"/>
        </w:rPr>
        <w:t>年</w:t>
      </w:r>
      <w:r>
        <w:rPr>
          <w:rFonts w:hint="eastAsia" w:cs="Times New Roman"/>
          <w:sz w:val="28"/>
          <w:szCs w:val="21"/>
          <w:highlight w:val="none"/>
          <w:lang w:val="en-US" w:eastAsia="zh-CN"/>
        </w:rPr>
        <w:t>12</w:t>
      </w:r>
      <w:r>
        <w:rPr>
          <w:rFonts w:hint="eastAsia" w:ascii="Times New Roman" w:hAnsi="Times New Roman" w:cs="Times New Roman"/>
          <w:sz w:val="28"/>
          <w:szCs w:val="21"/>
          <w:highlight w:val="none"/>
          <w:lang w:val="en-GB" w:eastAsia="zh-CN"/>
        </w:rPr>
        <w:t>月</w:t>
      </w:r>
      <w:r>
        <w:rPr>
          <w:rFonts w:hint="eastAsia" w:ascii="Times New Roman" w:hAnsi="Times New Roman" w:cs="Times New Roman"/>
          <w:sz w:val="28"/>
          <w:szCs w:val="21"/>
          <w:highlight w:val="none"/>
          <w:lang w:val="zh-CN" w:eastAsia="zh-CN"/>
        </w:rPr>
        <w:t>。</w:t>
      </w:r>
    </w:p>
    <w:p w14:paraId="00E513E4">
      <w:pPr>
        <w:pStyle w:val="8"/>
        <w:keepNext w:val="0"/>
        <w:keepLines w:val="0"/>
        <w:pageBreakBefore w:val="0"/>
        <w:widowControl w:val="0"/>
        <w:shd w:val="clear"/>
        <w:kinsoku/>
        <w:wordWrap/>
        <w:overflowPunct/>
        <w:topLinePunct w:val="0"/>
        <w:autoSpaceDE/>
        <w:autoSpaceDN/>
        <w:bidi w:val="0"/>
        <w:adjustRightInd/>
        <w:snapToGrid/>
        <w:textAlignment w:val="auto"/>
        <w:outlineLvl w:val="1"/>
        <w:rPr>
          <w:rFonts w:hint="default" w:ascii="宋体" w:hAnsi="宋体" w:eastAsia="宋体" w:cs="宋体"/>
          <w:b/>
          <w:bCs/>
          <w:sz w:val="28"/>
          <w:szCs w:val="21"/>
          <w:highlight w:val="none"/>
          <w:lang w:val="en-US" w:eastAsia="zh-CN"/>
        </w:rPr>
      </w:pPr>
      <w:bookmarkStart w:id="20" w:name="_Toc16899"/>
      <w:r>
        <w:rPr>
          <w:rFonts w:hint="eastAsia" w:ascii="宋体" w:hAnsi="宋体" w:eastAsia="宋体" w:cs="宋体"/>
          <w:b/>
          <w:bCs/>
          <w:sz w:val="28"/>
          <w:szCs w:val="21"/>
          <w:highlight w:val="none"/>
          <w:lang w:val="en-US" w:eastAsia="zh-CN"/>
        </w:rPr>
        <w:t>4.5项目总投资及资金来源</w:t>
      </w:r>
      <w:bookmarkEnd w:id="20"/>
    </w:p>
    <w:p w14:paraId="1ED85D62">
      <w:pPr>
        <w:pStyle w:val="9"/>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sz w:val="28"/>
          <w:szCs w:val="22"/>
          <w:lang w:val="en-US" w:eastAsia="zh-CN"/>
        </w:rPr>
      </w:pPr>
      <w:r>
        <w:rPr>
          <w:rFonts w:hint="eastAsia" w:ascii="Times New Roman" w:hAnsi="Times New Roman" w:cs="Times New Roman"/>
          <w:sz w:val="28"/>
          <w:szCs w:val="21"/>
          <w:highlight w:val="none"/>
          <w:lang w:val="en-GB" w:eastAsia="zh-CN"/>
        </w:rPr>
        <w:t>本项目的总投资约为</w:t>
      </w:r>
      <w:r>
        <w:rPr>
          <w:rFonts w:hint="eastAsia" w:cs="Times New Roman"/>
          <w:sz w:val="28"/>
          <w:szCs w:val="21"/>
          <w:highlight w:val="none"/>
          <w:lang w:val="en-US" w:eastAsia="zh-CN"/>
        </w:rPr>
        <w:t>1200</w:t>
      </w:r>
      <w:r>
        <w:rPr>
          <w:rFonts w:hint="eastAsia" w:ascii="Times New Roman" w:hAnsi="Times New Roman" w:cs="Times New Roman"/>
          <w:sz w:val="28"/>
          <w:szCs w:val="21"/>
          <w:highlight w:val="none"/>
          <w:lang w:val="en-US" w:eastAsia="zh-CN"/>
        </w:rPr>
        <w:t>万元</w:t>
      </w:r>
      <w:r>
        <w:rPr>
          <w:rFonts w:hint="eastAsia" w:ascii="Times New Roman" w:hAnsi="Times New Roman" w:cs="Times New Roman"/>
          <w:sz w:val="28"/>
          <w:szCs w:val="21"/>
          <w:highlight w:val="none"/>
          <w:lang w:val="en-GB" w:eastAsia="zh-CN"/>
        </w:rPr>
        <w:t>。其中：</w:t>
      </w:r>
      <w:r>
        <w:rPr>
          <w:rFonts w:hint="eastAsia" w:cs="Times New Roman"/>
          <w:sz w:val="28"/>
          <w:szCs w:val="21"/>
          <w:highlight w:val="none"/>
          <w:lang w:val="en-US" w:eastAsia="zh-CN"/>
        </w:rPr>
        <w:t>系统</w:t>
      </w:r>
      <w:r>
        <w:rPr>
          <w:rFonts w:hint="eastAsia" w:ascii="Times New Roman" w:hAnsi="Times New Roman" w:cs="Times New Roman"/>
          <w:sz w:val="28"/>
          <w:szCs w:val="21"/>
          <w:highlight w:val="none"/>
          <w:lang w:val="en-GB" w:eastAsia="zh-CN"/>
        </w:rPr>
        <w:t>购置费</w:t>
      </w:r>
      <w:r>
        <w:rPr>
          <w:rFonts w:hint="eastAsia" w:cs="Times New Roman"/>
          <w:sz w:val="28"/>
          <w:szCs w:val="21"/>
          <w:highlight w:val="none"/>
          <w:lang w:val="en-US" w:eastAsia="zh-CN"/>
        </w:rPr>
        <w:t>1200</w:t>
      </w:r>
      <w:r>
        <w:rPr>
          <w:rFonts w:hint="eastAsia" w:ascii="Times New Roman" w:hAnsi="Times New Roman" w:cs="Times New Roman"/>
          <w:sz w:val="28"/>
          <w:szCs w:val="21"/>
          <w:highlight w:val="none"/>
          <w:lang w:val="en-US" w:eastAsia="zh-CN"/>
        </w:rPr>
        <w:t>万元</w:t>
      </w:r>
      <w:r>
        <w:rPr>
          <w:rFonts w:hint="eastAsia" w:ascii="Times New Roman" w:hAnsi="Times New Roman" w:cs="Times New Roman"/>
          <w:sz w:val="28"/>
          <w:szCs w:val="21"/>
          <w:highlight w:val="none"/>
          <w:lang w:val="en-GB" w:eastAsia="zh-CN"/>
        </w:rPr>
        <w:t>含</w:t>
      </w:r>
      <w:r>
        <w:rPr>
          <w:rFonts w:hint="eastAsia" w:cs="Times New Roman"/>
          <w:sz w:val="28"/>
          <w:szCs w:val="21"/>
          <w:highlight w:val="none"/>
          <w:lang w:val="en-US" w:eastAsia="zh-CN"/>
        </w:rPr>
        <w:t>安装及3年企业端运维服务</w:t>
      </w:r>
      <w:r>
        <w:rPr>
          <w:rFonts w:hint="eastAsia" w:ascii="Times New Roman" w:hAnsi="Times New Roman" w:cs="Times New Roman"/>
          <w:sz w:val="28"/>
          <w:szCs w:val="21"/>
          <w:highlight w:val="none"/>
          <w:lang w:val="en-GB" w:eastAsia="zh-CN"/>
        </w:rPr>
        <w:t>，</w:t>
      </w:r>
      <w:r>
        <w:rPr>
          <w:rFonts w:hint="eastAsia" w:ascii="Times New Roman" w:hAnsi="Times New Roman" w:cs="Times New Roman"/>
          <w:sz w:val="28"/>
          <w:szCs w:val="21"/>
          <w:highlight w:val="none"/>
          <w:lang w:val="en-US" w:eastAsia="zh-CN"/>
        </w:rPr>
        <w:t>平台建设</w:t>
      </w:r>
      <w:r>
        <w:rPr>
          <w:rFonts w:hint="eastAsia" w:cs="Times New Roman"/>
          <w:sz w:val="28"/>
          <w:szCs w:val="21"/>
          <w:highlight w:val="none"/>
          <w:lang w:val="en-US" w:eastAsia="zh-CN"/>
        </w:rPr>
        <w:t>利旧</w:t>
      </w:r>
      <w:r>
        <w:rPr>
          <w:rFonts w:hint="eastAsia" w:ascii="Times New Roman" w:hAnsi="Times New Roman" w:cs="Times New Roman"/>
          <w:sz w:val="28"/>
          <w:szCs w:val="21"/>
          <w:highlight w:val="none"/>
          <w:lang w:val="en-GB" w:eastAsia="zh-CN"/>
        </w:rPr>
        <w:t>。</w:t>
      </w:r>
      <w:r>
        <w:rPr>
          <w:rFonts w:hint="eastAsia"/>
          <w:sz w:val="28"/>
          <w:szCs w:val="22"/>
          <w:lang w:val="en-US" w:eastAsia="zh-CN"/>
        </w:rPr>
        <w:t>本项目计划使用市级统筹存量资金或大气专项资金进行建设。</w:t>
      </w:r>
    </w:p>
    <w:p w14:paraId="2A4D28D7">
      <w:pPr>
        <w:pStyle w:val="8"/>
        <w:keepNext w:val="0"/>
        <w:keepLines w:val="0"/>
        <w:pageBreakBefore w:val="0"/>
        <w:widowControl w:val="0"/>
        <w:shd w:val="clear"/>
        <w:kinsoku/>
        <w:wordWrap/>
        <w:overflowPunct/>
        <w:topLinePunct w:val="0"/>
        <w:autoSpaceDE/>
        <w:autoSpaceDN/>
        <w:bidi w:val="0"/>
        <w:adjustRightInd/>
        <w:snapToGrid/>
        <w:textAlignment w:val="auto"/>
        <w:outlineLvl w:val="1"/>
        <w:rPr>
          <w:rFonts w:hint="default" w:ascii="宋体" w:hAnsi="宋体" w:eastAsia="宋体" w:cs="宋体"/>
          <w:b/>
          <w:bCs/>
          <w:sz w:val="28"/>
          <w:szCs w:val="21"/>
          <w:highlight w:val="none"/>
          <w:lang w:val="en-US" w:eastAsia="zh-CN"/>
        </w:rPr>
      </w:pPr>
      <w:bookmarkStart w:id="21" w:name="_Toc27145"/>
      <w:r>
        <w:rPr>
          <w:rFonts w:hint="eastAsia" w:ascii="宋体" w:hAnsi="宋体" w:eastAsia="宋体" w:cs="宋体"/>
          <w:b/>
          <w:bCs/>
          <w:sz w:val="28"/>
          <w:szCs w:val="21"/>
          <w:highlight w:val="none"/>
          <w:lang w:val="en-US" w:eastAsia="zh-CN"/>
        </w:rPr>
        <w:t>4.6项目建设性质</w:t>
      </w:r>
      <w:bookmarkEnd w:id="21"/>
    </w:p>
    <w:p w14:paraId="1078DFF7">
      <w:pPr>
        <w:pStyle w:val="8"/>
        <w:shd w:val="clear"/>
        <w:rPr>
          <w:rFonts w:hint="default" w:eastAsia="仿宋"/>
          <w:sz w:val="28"/>
          <w:szCs w:val="21"/>
          <w:highlight w:val="none"/>
          <w:lang w:val="en-US" w:eastAsia="zh-CN"/>
        </w:rPr>
      </w:pPr>
      <w:r>
        <w:rPr>
          <w:rFonts w:hint="default" w:eastAsia="仿宋"/>
          <w:sz w:val="28"/>
          <w:szCs w:val="21"/>
          <w:highlight w:val="none"/>
          <w:lang w:val="en-US" w:eastAsia="zh-CN"/>
        </w:rPr>
        <w:t>政府采购货物类</w:t>
      </w:r>
    </w:p>
    <w:p w14:paraId="3E4F2F85">
      <w:pPr>
        <w:pStyle w:val="8"/>
        <w:keepNext w:val="0"/>
        <w:keepLines w:val="0"/>
        <w:pageBreakBefore w:val="0"/>
        <w:widowControl w:val="0"/>
        <w:shd w:val="clear"/>
        <w:kinsoku/>
        <w:wordWrap/>
        <w:overflowPunct/>
        <w:topLinePunct w:val="0"/>
        <w:autoSpaceDE/>
        <w:autoSpaceDN/>
        <w:bidi w:val="0"/>
        <w:adjustRightInd/>
        <w:snapToGrid/>
        <w:textAlignment w:val="auto"/>
        <w:outlineLvl w:val="1"/>
        <w:rPr>
          <w:rFonts w:hint="eastAsia" w:ascii="宋体" w:hAnsi="宋体" w:eastAsia="宋体" w:cs="宋体"/>
          <w:b/>
          <w:bCs/>
          <w:sz w:val="28"/>
          <w:szCs w:val="21"/>
          <w:highlight w:val="none"/>
          <w:lang w:val="en-US" w:eastAsia="zh-CN"/>
        </w:rPr>
      </w:pPr>
      <w:bookmarkStart w:id="22" w:name="_Toc27651"/>
      <w:r>
        <w:rPr>
          <w:rFonts w:hint="eastAsia" w:ascii="宋体" w:hAnsi="宋体" w:eastAsia="宋体" w:cs="宋体"/>
          <w:b/>
          <w:bCs/>
          <w:sz w:val="28"/>
          <w:szCs w:val="21"/>
          <w:highlight w:val="none"/>
          <w:lang w:val="en-US" w:eastAsia="zh-CN"/>
        </w:rPr>
        <w:t>4.7项目建设必要性分析</w:t>
      </w:r>
      <w:bookmarkEnd w:id="22"/>
    </w:p>
    <w:p w14:paraId="0223F98C">
      <w:pPr>
        <w:pStyle w:val="8"/>
        <w:shd w:val="clear"/>
        <w:rPr>
          <w:rFonts w:hint="default" w:ascii="Times New Roman" w:hAnsi="Times New Roman" w:cs="Times New Roman"/>
          <w:sz w:val="28"/>
          <w:szCs w:val="21"/>
          <w:highlight w:val="none"/>
          <w:lang w:val="en-US" w:eastAsia="zh-CN"/>
        </w:rPr>
      </w:pPr>
      <w:bookmarkStart w:id="23" w:name="_Toc21158"/>
      <w:bookmarkStart w:id="24" w:name="_Toc2295"/>
      <w:r>
        <w:rPr>
          <w:rFonts w:hint="eastAsia" w:cs="Times New Roman"/>
          <w:sz w:val="28"/>
          <w:szCs w:val="21"/>
          <w:highlight w:val="none"/>
          <w:lang w:val="en-US" w:eastAsia="zh-CN"/>
        </w:rPr>
        <w:t>（1）</w:t>
      </w:r>
      <w:r>
        <w:rPr>
          <w:rFonts w:hint="eastAsia" w:ascii="Times New Roman" w:hAnsi="Times New Roman" w:cs="Times New Roman"/>
          <w:sz w:val="28"/>
          <w:szCs w:val="21"/>
          <w:highlight w:val="none"/>
          <w:lang w:val="en-US" w:eastAsia="zh-CN"/>
        </w:rPr>
        <w:t>项目建设</w:t>
      </w:r>
      <w:r>
        <w:rPr>
          <w:rFonts w:hint="eastAsia" w:ascii="Times New Roman" w:hAnsi="Times New Roman" w:cs="Times New Roman"/>
          <w:sz w:val="28"/>
          <w:szCs w:val="21"/>
          <w:highlight w:val="none"/>
          <w:lang w:val="en-GB" w:eastAsia="zh-CN"/>
        </w:rPr>
        <w:t>是全面</w:t>
      </w:r>
      <w:r>
        <w:rPr>
          <w:rFonts w:hint="eastAsia" w:ascii="Times New Roman" w:hAnsi="Times New Roman" w:cs="Times New Roman"/>
          <w:sz w:val="28"/>
          <w:szCs w:val="21"/>
          <w:highlight w:val="none"/>
          <w:lang w:val="en-US" w:eastAsia="zh-CN"/>
        </w:rPr>
        <w:t>提升</w:t>
      </w:r>
      <w:r>
        <w:rPr>
          <w:rFonts w:hint="eastAsia" w:ascii="Times New Roman" w:hAnsi="Times New Roman" w:cs="Times New Roman"/>
          <w:sz w:val="28"/>
          <w:szCs w:val="21"/>
          <w:highlight w:val="none"/>
          <w:lang w:val="en-GB" w:eastAsia="zh-CN"/>
        </w:rPr>
        <w:t>环境保护行业监管</w:t>
      </w:r>
      <w:r>
        <w:rPr>
          <w:rFonts w:hint="eastAsia" w:ascii="Times New Roman" w:hAnsi="Times New Roman" w:cs="Times New Roman"/>
          <w:sz w:val="28"/>
          <w:szCs w:val="21"/>
          <w:highlight w:val="none"/>
          <w:lang w:val="en-US" w:eastAsia="zh-CN"/>
        </w:rPr>
        <w:t>水平</w:t>
      </w:r>
      <w:r>
        <w:rPr>
          <w:rFonts w:hint="eastAsia" w:ascii="Times New Roman" w:hAnsi="Times New Roman" w:cs="Times New Roman"/>
          <w:sz w:val="28"/>
          <w:szCs w:val="21"/>
          <w:highlight w:val="none"/>
          <w:lang w:val="en-GB" w:eastAsia="zh-CN"/>
        </w:rPr>
        <w:t>，</w:t>
      </w:r>
      <w:r>
        <w:rPr>
          <w:rFonts w:hint="eastAsia" w:ascii="Times New Roman" w:hAnsi="Times New Roman" w:cs="Times New Roman"/>
          <w:sz w:val="28"/>
          <w:szCs w:val="21"/>
          <w:highlight w:val="none"/>
          <w:lang w:val="en-US" w:eastAsia="zh-CN"/>
        </w:rPr>
        <w:t>实现非现场监管</w:t>
      </w:r>
      <w:r>
        <w:rPr>
          <w:rFonts w:hint="eastAsia" w:ascii="Times New Roman" w:hAnsi="Times New Roman" w:cs="Times New Roman"/>
          <w:sz w:val="28"/>
          <w:szCs w:val="21"/>
          <w:highlight w:val="none"/>
          <w:lang w:val="en-GB" w:eastAsia="zh-CN"/>
        </w:rPr>
        <w:t>的</w:t>
      </w:r>
      <w:bookmarkEnd w:id="23"/>
      <w:bookmarkEnd w:id="24"/>
      <w:r>
        <w:rPr>
          <w:rFonts w:hint="eastAsia" w:ascii="Times New Roman" w:hAnsi="Times New Roman" w:cs="Times New Roman"/>
          <w:sz w:val="28"/>
          <w:szCs w:val="21"/>
          <w:highlight w:val="none"/>
          <w:lang w:val="en-US" w:eastAsia="zh-CN"/>
        </w:rPr>
        <w:t>重要措施</w:t>
      </w:r>
    </w:p>
    <w:p w14:paraId="75D92495">
      <w:pPr>
        <w:pStyle w:val="8"/>
        <w:shd w:val="clear"/>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GB" w:eastAsia="zh-CN"/>
        </w:rPr>
        <w:t>当前对环境监控仅能做到对</w:t>
      </w:r>
      <w:r>
        <w:rPr>
          <w:rFonts w:hint="eastAsia" w:ascii="Times New Roman" w:hAnsi="Times New Roman" w:cs="Times New Roman"/>
          <w:sz w:val="28"/>
          <w:szCs w:val="21"/>
          <w:highlight w:val="none"/>
          <w:lang w:val="en-US" w:eastAsia="zh-CN"/>
        </w:rPr>
        <w:t>涉</w:t>
      </w:r>
      <w:r>
        <w:rPr>
          <w:rFonts w:hint="eastAsia" w:cs="Times New Roman"/>
          <w:sz w:val="28"/>
          <w:szCs w:val="21"/>
          <w:highlight w:val="none"/>
          <w:lang w:val="en-US" w:eastAsia="zh-CN"/>
        </w:rPr>
        <w:t>VOCs</w:t>
      </w:r>
      <w:r>
        <w:rPr>
          <w:rFonts w:hint="eastAsia" w:ascii="Times New Roman" w:hAnsi="Times New Roman" w:cs="Times New Roman"/>
          <w:sz w:val="28"/>
          <w:szCs w:val="21"/>
          <w:highlight w:val="none"/>
          <w:lang w:val="en-US" w:eastAsia="zh-CN"/>
        </w:rPr>
        <w:t>工业源</w:t>
      </w:r>
      <w:r>
        <w:rPr>
          <w:rFonts w:hint="eastAsia" w:ascii="Times New Roman" w:hAnsi="Times New Roman" w:cs="Times New Roman"/>
          <w:sz w:val="28"/>
          <w:szCs w:val="21"/>
          <w:highlight w:val="none"/>
          <w:lang w:val="en-GB" w:eastAsia="zh-CN"/>
        </w:rPr>
        <w:t>常规环境指标进行“点”上的监控，还没有做到覆盖全区所有污染源、潜在污染源及生态环境的“面”上的监控。</w:t>
      </w:r>
      <w:r>
        <w:rPr>
          <w:rFonts w:hint="eastAsia" w:ascii="Times New Roman" w:hAnsi="Times New Roman" w:cs="Times New Roman"/>
          <w:sz w:val="28"/>
          <w:szCs w:val="21"/>
          <w:highlight w:val="none"/>
          <w:lang w:val="en-US" w:eastAsia="zh-CN"/>
        </w:rPr>
        <w:t>加强对区域内涉</w:t>
      </w:r>
      <w:r>
        <w:rPr>
          <w:rFonts w:hint="eastAsia" w:cs="Times New Roman"/>
          <w:sz w:val="28"/>
          <w:szCs w:val="21"/>
          <w:highlight w:val="none"/>
          <w:lang w:val="en-US" w:eastAsia="zh-CN"/>
        </w:rPr>
        <w:t>VOCs</w:t>
      </w:r>
      <w:r>
        <w:rPr>
          <w:rFonts w:hint="eastAsia" w:ascii="Times New Roman" w:hAnsi="Times New Roman" w:cs="Times New Roman"/>
          <w:sz w:val="28"/>
          <w:szCs w:val="21"/>
          <w:highlight w:val="none"/>
          <w:lang w:val="en-US" w:eastAsia="zh-CN"/>
        </w:rPr>
        <w:t>工业源的合理化管理，保障企业污染治理设施的正常运行、更加直观地了解企业排污过程、减少涉</w:t>
      </w:r>
      <w:r>
        <w:rPr>
          <w:rFonts w:hint="eastAsia" w:cs="Times New Roman"/>
          <w:sz w:val="28"/>
          <w:szCs w:val="21"/>
          <w:highlight w:val="none"/>
          <w:lang w:val="en-US" w:eastAsia="zh-CN"/>
        </w:rPr>
        <w:t>VOCs</w:t>
      </w:r>
      <w:r>
        <w:rPr>
          <w:rFonts w:hint="eastAsia" w:ascii="Times New Roman" w:hAnsi="Times New Roman" w:cs="Times New Roman"/>
          <w:sz w:val="28"/>
          <w:szCs w:val="21"/>
          <w:highlight w:val="none"/>
          <w:lang w:val="en-US" w:eastAsia="zh-CN"/>
        </w:rPr>
        <w:t>工业源在生产过程中产生的生态环境污染问题，切实做好对产污、治污全过程中的各个环节的监控和监督工作。除此之外，项目建设既符合</w:t>
      </w:r>
      <w:r>
        <w:rPr>
          <w:rFonts w:hint="eastAsia" w:cs="Times New Roman"/>
          <w:sz w:val="28"/>
          <w:szCs w:val="21"/>
          <w:highlight w:val="none"/>
          <w:lang w:val="en-US" w:eastAsia="zh-CN"/>
        </w:rPr>
        <w:t>《</w:t>
      </w:r>
      <w:r>
        <w:rPr>
          <w:rFonts w:hint="eastAsia" w:ascii="Times New Roman" w:hAnsi="Times New Roman" w:cs="Times New Roman"/>
          <w:sz w:val="28"/>
          <w:szCs w:val="21"/>
          <w:highlight w:val="none"/>
          <w:lang w:val="en-US" w:eastAsia="zh-CN"/>
        </w:rPr>
        <w:t>河北省生态环境厅关于非现场监督执法改革意见》提出的“</w:t>
      </w:r>
      <w:r>
        <w:rPr>
          <w:sz w:val="28"/>
          <w:szCs w:val="28"/>
          <w:highlight w:val="none"/>
        </w:rPr>
        <w:t>针对各行业、各类企业生产工艺和污染物排放特征，实现污染物排放自动监测监控全方位、全过程、全覆盖</w:t>
      </w:r>
      <w:r>
        <w:rPr>
          <w:rFonts w:hint="eastAsia" w:ascii="Times New Roman" w:hAnsi="Times New Roman" w:cs="Times New Roman"/>
          <w:sz w:val="28"/>
          <w:szCs w:val="21"/>
          <w:highlight w:val="none"/>
          <w:lang w:val="en-US" w:eastAsia="zh-CN"/>
        </w:rPr>
        <w:t>”工作要求，也符合《空气质量持续改善行动计划》提出的“推动企业安装工况监控、用电（用能）监控、视频监控等”的工作要求，项目通过在企业主要生产工序、治理工艺或排放口等关键位置安装使用工况参数、用水用电用能等间接反映大气染物排放状况的自动监测设备，监控企业产污、治污、排污情况，实现非现场环境监管。</w:t>
      </w:r>
    </w:p>
    <w:p w14:paraId="78CE3BED">
      <w:pPr>
        <w:pStyle w:val="8"/>
        <w:shd w:val="clear"/>
        <w:rPr>
          <w:rFonts w:hint="eastAsia" w:ascii="Times New Roman" w:hAnsi="Times New Roman" w:cs="Times New Roman"/>
          <w:sz w:val="28"/>
          <w:szCs w:val="21"/>
          <w:highlight w:val="none"/>
          <w:lang w:val="en-US" w:eastAsia="zh-CN"/>
        </w:rPr>
      </w:pPr>
      <w:r>
        <w:rPr>
          <w:rFonts w:hint="eastAsia" w:cs="Times New Roman"/>
          <w:sz w:val="28"/>
          <w:szCs w:val="21"/>
          <w:highlight w:val="none"/>
          <w:lang w:val="en-US" w:eastAsia="zh-CN"/>
        </w:rPr>
        <w:t>（2）</w:t>
      </w:r>
      <w:r>
        <w:rPr>
          <w:rFonts w:hint="eastAsia" w:ascii="Times New Roman" w:hAnsi="Times New Roman" w:cs="Times New Roman"/>
          <w:sz w:val="28"/>
          <w:szCs w:val="21"/>
          <w:highlight w:val="none"/>
          <w:lang w:val="en-US" w:eastAsia="zh-CN"/>
        </w:rPr>
        <w:t>项目建设是实现涉</w:t>
      </w:r>
      <w:r>
        <w:rPr>
          <w:rFonts w:hint="eastAsia" w:cs="Times New Roman"/>
          <w:sz w:val="28"/>
          <w:szCs w:val="21"/>
          <w:highlight w:val="none"/>
          <w:lang w:val="en-US" w:eastAsia="zh-CN"/>
        </w:rPr>
        <w:t>VOCs</w:t>
      </w:r>
      <w:r>
        <w:rPr>
          <w:rFonts w:hint="eastAsia" w:ascii="Times New Roman" w:hAnsi="Times New Roman" w:cs="Times New Roman"/>
          <w:sz w:val="28"/>
          <w:szCs w:val="21"/>
          <w:highlight w:val="none"/>
          <w:lang w:val="en-US" w:eastAsia="zh-CN"/>
        </w:rPr>
        <w:t>工业源精细化监管的有力手段</w:t>
      </w:r>
    </w:p>
    <w:p w14:paraId="2303ABBD">
      <w:pPr>
        <w:pStyle w:val="8"/>
        <w:shd w:val="clear"/>
        <w:rPr>
          <w:rFonts w:hint="eastAsia" w:ascii="Times New Roman" w:hAnsi="Times New Roman" w:cs="Times New Roman"/>
          <w:sz w:val="28"/>
          <w:szCs w:val="21"/>
          <w:highlight w:val="none"/>
          <w:lang w:val="en-US" w:eastAsia="zh-CN"/>
        </w:rPr>
      </w:pPr>
      <w:r>
        <w:rPr>
          <w:rFonts w:hint="eastAsia" w:cs="Times New Roman"/>
          <w:sz w:val="28"/>
          <w:szCs w:val="21"/>
          <w:highlight w:val="none"/>
          <w:lang w:val="en-US" w:eastAsia="zh-CN"/>
        </w:rPr>
        <w:t>我市</w:t>
      </w:r>
      <w:r>
        <w:rPr>
          <w:rFonts w:hint="eastAsia" w:ascii="Times New Roman" w:hAnsi="Times New Roman" w:cs="Times New Roman"/>
          <w:sz w:val="28"/>
          <w:szCs w:val="21"/>
          <w:highlight w:val="none"/>
          <w:lang w:val="en-GB" w:eastAsia="zh-CN"/>
        </w:rPr>
        <w:t>市场主体数量庞大、工业企业点多面广，潜在的环境隐患很多，尤其是涉</w:t>
      </w:r>
      <w:r>
        <w:rPr>
          <w:rFonts w:hint="eastAsia" w:cs="Times New Roman"/>
          <w:sz w:val="28"/>
          <w:szCs w:val="21"/>
          <w:highlight w:val="none"/>
          <w:lang w:val="en-GB" w:eastAsia="zh-CN"/>
        </w:rPr>
        <w:t>VOCs</w:t>
      </w:r>
      <w:r>
        <w:rPr>
          <w:rFonts w:hint="eastAsia" w:ascii="Times New Roman" w:hAnsi="Times New Roman" w:cs="Times New Roman"/>
          <w:sz w:val="28"/>
          <w:szCs w:val="21"/>
          <w:highlight w:val="none"/>
          <w:lang w:val="en-US" w:eastAsia="zh-CN"/>
        </w:rPr>
        <w:t>工业源</w:t>
      </w:r>
      <w:r>
        <w:rPr>
          <w:rFonts w:hint="eastAsia" w:ascii="Times New Roman" w:hAnsi="Times New Roman" w:cs="Times New Roman"/>
          <w:sz w:val="28"/>
          <w:szCs w:val="21"/>
          <w:highlight w:val="none"/>
          <w:lang w:val="en-GB" w:eastAsia="zh-CN"/>
        </w:rPr>
        <w:t>数量多、门类多、问题也多，面对空气质量</w:t>
      </w:r>
      <w:r>
        <w:rPr>
          <w:rFonts w:hint="eastAsia" w:cs="Times New Roman"/>
          <w:sz w:val="28"/>
          <w:szCs w:val="21"/>
          <w:highlight w:val="none"/>
          <w:lang w:val="en-US" w:eastAsia="zh-CN"/>
        </w:rPr>
        <w:t>持续改善的需求</w:t>
      </w:r>
      <w:r>
        <w:rPr>
          <w:rFonts w:hint="eastAsia" w:ascii="Times New Roman" w:hAnsi="Times New Roman" w:cs="Times New Roman"/>
          <w:sz w:val="28"/>
          <w:szCs w:val="21"/>
          <w:highlight w:val="none"/>
          <w:lang w:val="en-GB" w:eastAsia="zh-CN"/>
        </w:rPr>
        <w:t>，必须保持政治敏锐性，把其放在极端重要位置来抓。</w:t>
      </w:r>
      <w:r>
        <w:rPr>
          <w:rFonts w:hint="eastAsia" w:ascii="仿宋" w:hAnsi="仿宋" w:cs="仿宋"/>
          <w:color w:val="auto"/>
          <w:kern w:val="2"/>
          <w:sz w:val="28"/>
          <w:szCs w:val="28"/>
          <w:highlight w:val="none"/>
          <w:lang w:val="en-US" w:eastAsia="zh-CN" w:bidi="ar-SA"/>
        </w:rPr>
        <w:t>项目建设对涉</w:t>
      </w:r>
      <w:r>
        <w:rPr>
          <w:rFonts w:hint="eastAsia" w:cs="Times New Roman"/>
          <w:sz w:val="28"/>
          <w:szCs w:val="21"/>
          <w:highlight w:val="none"/>
          <w:lang w:val="en-US" w:eastAsia="zh-CN"/>
        </w:rPr>
        <w:t>VOCs</w:t>
      </w:r>
      <w:r>
        <w:rPr>
          <w:rFonts w:hint="eastAsia" w:ascii="Times New Roman" w:hAnsi="Times New Roman" w:cs="Times New Roman"/>
          <w:sz w:val="28"/>
          <w:szCs w:val="21"/>
          <w:highlight w:val="none"/>
          <w:lang w:val="en-US" w:eastAsia="zh-CN"/>
        </w:rPr>
        <w:t>工业源</w:t>
      </w:r>
      <w:r>
        <w:rPr>
          <w:rFonts w:hint="eastAsia" w:ascii="仿宋" w:hAnsi="仿宋" w:cs="仿宋"/>
          <w:color w:val="auto"/>
          <w:kern w:val="2"/>
          <w:sz w:val="28"/>
          <w:szCs w:val="28"/>
          <w:highlight w:val="none"/>
          <w:lang w:val="en-US" w:eastAsia="zh-CN" w:bidi="ar-SA"/>
        </w:rPr>
        <w:t>的智能监管，</w:t>
      </w:r>
      <w:r>
        <w:rPr>
          <w:rFonts w:hint="eastAsia" w:ascii="仿宋" w:hAnsi="仿宋" w:eastAsia="仿宋"/>
          <w:color w:val="000000"/>
          <w:sz w:val="28"/>
          <w:szCs w:val="21"/>
          <w:highlight w:val="none"/>
          <w:lang w:eastAsia="zh-CN"/>
        </w:rPr>
        <w:t>能充分契合关于</w:t>
      </w:r>
      <w:r>
        <w:rPr>
          <w:rFonts w:hint="eastAsia" w:ascii="仿宋" w:hAnsi="仿宋"/>
          <w:color w:val="000000"/>
          <w:sz w:val="28"/>
          <w:szCs w:val="21"/>
          <w:highlight w:val="none"/>
          <w:lang w:val="en-US" w:eastAsia="zh-CN"/>
        </w:rPr>
        <w:t>工业源</w:t>
      </w:r>
      <w:r>
        <w:rPr>
          <w:rFonts w:hint="eastAsia" w:ascii="仿宋" w:hAnsi="仿宋" w:eastAsia="仿宋"/>
          <w:color w:val="000000"/>
          <w:sz w:val="28"/>
          <w:szCs w:val="21"/>
          <w:highlight w:val="none"/>
          <w:lang w:eastAsia="zh-CN"/>
        </w:rPr>
        <w:t>限产、</w:t>
      </w:r>
      <w:r>
        <w:rPr>
          <w:rFonts w:hint="eastAsia" w:ascii="仿宋" w:hAnsi="仿宋"/>
          <w:color w:val="000000"/>
          <w:sz w:val="28"/>
          <w:szCs w:val="21"/>
          <w:highlight w:val="none"/>
          <w:lang w:eastAsia="zh-CN"/>
        </w:rPr>
        <w:t>“</w:t>
      </w:r>
      <w:r>
        <w:rPr>
          <w:rFonts w:hint="eastAsia" w:ascii="仿宋" w:hAnsi="仿宋"/>
          <w:color w:val="000000"/>
          <w:sz w:val="28"/>
          <w:szCs w:val="21"/>
          <w:highlight w:val="none"/>
          <w:lang w:val="en-US" w:eastAsia="zh-CN"/>
        </w:rPr>
        <w:t>高低温天气时段错峰生产</w:t>
      </w:r>
      <w:r>
        <w:rPr>
          <w:rFonts w:hint="eastAsia" w:ascii="仿宋" w:hAnsi="仿宋"/>
          <w:color w:val="000000"/>
          <w:sz w:val="28"/>
          <w:szCs w:val="21"/>
          <w:highlight w:val="none"/>
          <w:lang w:eastAsia="zh-CN"/>
        </w:rPr>
        <w:t>”、</w:t>
      </w:r>
      <w:r>
        <w:rPr>
          <w:rFonts w:hint="eastAsia" w:ascii="仿宋" w:hAnsi="仿宋"/>
          <w:color w:val="000000"/>
          <w:sz w:val="28"/>
          <w:szCs w:val="21"/>
          <w:highlight w:val="none"/>
          <w:lang w:val="en-US" w:eastAsia="zh-CN"/>
        </w:rPr>
        <w:t>治理设施有效运行</w:t>
      </w:r>
      <w:r>
        <w:rPr>
          <w:rFonts w:hint="eastAsia" w:ascii="仿宋" w:hAnsi="仿宋" w:eastAsia="仿宋"/>
          <w:color w:val="000000"/>
          <w:sz w:val="28"/>
          <w:szCs w:val="21"/>
          <w:highlight w:val="none"/>
          <w:lang w:eastAsia="zh-CN"/>
        </w:rPr>
        <w:t>等</w:t>
      </w:r>
      <w:r>
        <w:rPr>
          <w:rFonts w:hint="eastAsia" w:ascii="仿宋" w:hAnsi="仿宋"/>
          <w:color w:val="000000"/>
          <w:sz w:val="28"/>
          <w:szCs w:val="21"/>
          <w:highlight w:val="none"/>
          <w:lang w:val="en-US" w:eastAsia="zh-CN"/>
        </w:rPr>
        <w:t>管控</w:t>
      </w:r>
      <w:r>
        <w:rPr>
          <w:rFonts w:hint="eastAsia" w:ascii="仿宋" w:hAnsi="仿宋" w:eastAsia="仿宋"/>
          <w:color w:val="000000"/>
          <w:sz w:val="28"/>
          <w:szCs w:val="21"/>
          <w:highlight w:val="none"/>
          <w:lang w:eastAsia="zh-CN"/>
        </w:rPr>
        <w:t>指标要求，</w:t>
      </w:r>
      <w:r>
        <w:rPr>
          <w:rFonts w:hint="eastAsia" w:ascii="仿宋" w:hAnsi="仿宋" w:cs="仿宋"/>
          <w:color w:val="auto"/>
          <w:kern w:val="2"/>
          <w:sz w:val="28"/>
          <w:szCs w:val="28"/>
          <w:highlight w:val="none"/>
          <w:lang w:val="en-US" w:eastAsia="zh-CN" w:bidi="ar-SA"/>
        </w:rPr>
        <w:t>发挥“治污设施运行的精准监管，减少非正常工况排放”、“低效失效治理设施非现场排查”、“重污染天气应急预案落实情况远程监管”、“车间无组织排放风险防控”等作用。</w:t>
      </w:r>
      <w:r>
        <w:rPr>
          <w:rFonts w:hint="eastAsia" w:ascii="仿宋" w:hAnsi="仿宋" w:eastAsia="仿宋"/>
          <w:color w:val="000000"/>
          <w:sz w:val="28"/>
          <w:szCs w:val="21"/>
          <w:highlight w:val="none"/>
          <w:lang w:eastAsia="zh-CN"/>
        </w:rPr>
        <w:t>同时保证结果有对应的数据支撑，做到用结论定性、用结果考核、用数据说话</w:t>
      </w:r>
      <w:r>
        <w:rPr>
          <w:rFonts w:hint="eastAsia" w:ascii="仿宋" w:hAnsi="仿宋"/>
          <w:color w:val="000000"/>
          <w:sz w:val="28"/>
          <w:szCs w:val="21"/>
          <w:highlight w:val="none"/>
          <w:lang w:eastAsia="zh-CN"/>
        </w:rPr>
        <w:t>，</w:t>
      </w:r>
      <w:r>
        <w:rPr>
          <w:rFonts w:hint="eastAsia" w:ascii="仿宋" w:hAnsi="仿宋" w:eastAsia="仿宋"/>
          <w:color w:val="000000"/>
          <w:sz w:val="28"/>
          <w:szCs w:val="21"/>
          <w:highlight w:val="none"/>
          <w:lang w:eastAsia="zh-CN"/>
        </w:rPr>
        <w:t>避免数据依据不充分，被动对企业实施“一刀切”而导致的环境与效益损失。</w:t>
      </w:r>
    </w:p>
    <w:p w14:paraId="06D0015F">
      <w:pPr>
        <w:pStyle w:val="8"/>
        <w:shd w:val="clear"/>
        <w:rPr>
          <w:rFonts w:hint="eastAsia" w:ascii="Times New Roman" w:hAnsi="Times New Roman" w:cs="Times New Roman"/>
          <w:sz w:val="28"/>
          <w:szCs w:val="21"/>
          <w:highlight w:val="none"/>
          <w:lang w:val="en-US" w:eastAsia="zh-CN"/>
        </w:rPr>
      </w:pPr>
      <w:r>
        <w:rPr>
          <w:rFonts w:hint="eastAsia" w:cs="Times New Roman"/>
          <w:sz w:val="28"/>
          <w:szCs w:val="21"/>
          <w:highlight w:val="none"/>
          <w:lang w:val="en-US" w:eastAsia="zh-CN"/>
        </w:rPr>
        <w:t>（3）</w:t>
      </w:r>
      <w:r>
        <w:rPr>
          <w:rFonts w:hint="eastAsia" w:ascii="Times New Roman" w:hAnsi="Times New Roman" w:cs="Times New Roman"/>
          <w:sz w:val="28"/>
          <w:szCs w:val="21"/>
          <w:highlight w:val="none"/>
          <w:lang w:val="en-US" w:eastAsia="zh-CN"/>
        </w:rPr>
        <w:t>项目建设是落实臭氧污染防控，持续改善大气环境质量的重要举措</w:t>
      </w:r>
    </w:p>
    <w:p w14:paraId="23F2B3F3">
      <w:pPr>
        <w:pStyle w:val="9"/>
        <w:shd w:val="clear"/>
        <w:ind w:firstLine="560" w:firstLineChars="200"/>
        <w:rPr>
          <w:rFonts w:hint="default"/>
          <w:sz w:val="28"/>
          <w:szCs w:val="21"/>
          <w:highlight w:val="none"/>
          <w:lang w:val="en-US" w:eastAsia="zh-CN"/>
        </w:rPr>
      </w:pPr>
      <w:r>
        <w:rPr>
          <w:rFonts w:hint="eastAsia" w:ascii="Times New Roman" w:hAnsi="Times New Roman" w:cs="Times New Roman"/>
          <w:sz w:val="28"/>
          <w:szCs w:val="21"/>
          <w:highlight w:val="none"/>
          <w:lang w:val="en-GB" w:eastAsia="zh-CN"/>
        </w:rPr>
        <w:t>臭氧是氮氧化物和挥发性有机物在光照的条件下二次生成产物，它与氮氧化物和挥发性有机物呈非线性关系，因此需要通过实施</w:t>
      </w:r>
      <w:r>
        <w:rPr>
          <w:rFonts w:hint="eastAsia" w:cs="Times New Roman"/>
          <w:sz w:val="28"/>
          <w:szCs w:val="21"/>
          <w:highlight w:val="none"/>
          <w:lang w:val="en-GB" w:eastAsia="zh-CN"/>
        </w:rPr>
        <w:t>涉VOCs</w:t>
      </w:r>
      <w:r>
        <w:rPr>
          <w:rFonts w:hint="eastAsia" w:ascii="Times New Roman" w:hAnsi="Times New Roman" w:cs="Times New Roman"/>
          <w:sz w:val="28"/>
          <w:szCs w:val="21"/>
          <w:highlight w:val="none"/>
          <w:lang w:val="en-GB" w:eastAsia="zh-CN"/>
        </w:rPr>
        <w:t>企业错峰生产、面源错峰作业、加强雾炮洒水作业、加强道路拥堵疏导等举措加强应急管控，降低臭氧污染影响。</w:t>
      </w:r>
      <w:r>
        <w:rPr>
          <w:rFonts w:hint="eastAsia" w:ascii="Times New Roman" w:hAnsi="Times New Roman" w:cs="Times New Roman"/>
          <w:sz w:val="28"/>
          <w:szCs w:val="21"/>
          <w:highlight w:val="none"/>
          <w:lang w:val="en-US" w:eastAsia="zh-CN"/>
        </w:rPr>
        <w:t>而</w:t>
      </w:r>
      <w:r>
        <w:rPr>
          <w:rFonts w:hint="eastAsia" w:ascii="Times New Roman" w:hAnsi="Times New Roman" w:cs="Times New Roman"/>
          <w:sz w:val="28"/>
          <w:szCs w:val="21"/>
          <w:highlight w:val="none"/>
          <w:lang w:val="en-GB" w:eastAsia="zh-CN"/>
        </w:rPr>
        <w:t>涉VOCs</w:t>
      </w:r>
      <w:r>
        <w:rPr>
          <w:rFonts w:hint="eastAsia" w:ascii="Times New Roman" w:hAnsi="Times New Roman" w:cs="Times New Roman"/>
          <w:sz w:val="28"/>
          <w:szCs w:val="21"/>
          <w:highlight w:val="none"/>
          <w:lang w:val="en-US" w:eastAsia="zh-CN"/>
        </w:rPr>
        <w:t>工业源是挥发性有机物排放的主要来源之一，项目通过信息化手段全面侦查</w:t>
      </w:r>
      <w:r>
        <w:rPr>
          <w:rFonts w:hint="eastAsia" w:ascii="Times New Roman" w:hAnsi="Times New Roman" w:cs="Times New Roman"/>
          <w:sz w:val="28"/>
          <w:szCs w:val="21"/>
          <w:highlight w:val="none"/>
          <w:lang w:val="en-GB" w:eastAsia="zh-CN"/>
        </w:rPr>
        <w:t>涉VOCs</w:t>
      </w:r>
      <w:r>
        <w:rPr>
          <w:rFonts w:hint="eastAsia" w:ascii="Times New Roman" w:hAnsi="Times New Roman" w:cs="Times New Roman"/>
          <w:sz w:val="28"/>
          <w:szCs w:val="21"/>
          <w:highlight w:val="none"/>
          <w:lang w:val="en-US" w:eastAsia="zh-CN"/>
        </w:rPr>
        <w:t>工业源的产污车间门窗密闭、治理设施运行效率、废气收集效果等情况，预防挥发性有机物逸散风险，做到源头管控，精准减排。</w:t>
      </w:r>
    </w:p>
    <w:p w14:paraId="02C7B4B1">
      <w:pPr>
        <w:pStyle w:val="8"/>
        <w:keepNext w:val="0"/>
        <w:keepLines w:val="0"/>
        <w:pageBreakBefore w:val="0"/>
        <w:widowControl w:val="0"/>
        <w:shd w:val="clear"/>
        <w:kinsoku/>
        <w:wordWrap/>
        <w:overflowPunct/>
        <w:topLinePunct w:val="0"/>
        <w:autoSpaceDE/>
        <w:autoSpaceDN/>
        <w:bidi w:val="0"/>
        <w:adjustRightInd/>
        <w:snapToGrid/>
        <w:textAlignment w:val="auto"/>
        <w:outlineLvl w:val="0"/>
        <w:rPr>
          <w:rFonts w:hint="default" w:ascii="黑体" w:hAnsi="黑体" w:eastAsia="黑体" w:cs="黑体"/>
          <w:b w:val="0"/>
          <w:bCs w:val="0"/>
          <w:sz w:val="32"/>
          <w:szCs w:val="22"/>
          <w:highlight w:val="none"/>
          <w:lang w:val="en-US" w:eastAsia="zh-CN"/>
        </w:rPr>
      </w:pPr>
      <w:bookmarkStart w:id="25" w:name="_Toc13543"/>
      <w:r>
        <w:rPr>
          <w:rFonts w:hint="eastAsia" w:ascii="黑体" w:hAnsi="黑体" w:eastAsia="黑体" w:cs="黑体"/>
          <w:b w:val="0"/>
          <w:bCs w:val="0"/>
          <w:sz w:val="32"/>
          <w:szCs w:val="22"/>
          <w:highlight w:val="none"/>
          <w:lang w:val="en-US" w:eastAsia="zh-CN"/>
        </w:rPr>
        <w:t>五、实施方案</w:t>
      </w:r>
      <w:bookmarkEnd w:id="25"/>
    </w:p>
    <w:p w14:paraId="56B148E6">
      <w:pPr>
        <w:pStyle w:val="8"/>
        <w:keepNext w:val="0"/>
        <w:keepLines w:val="0"/>
        <w:pageBreakBefore w:val="0"/>
        <w:widowControl w:val="0"/>
        <w:shd w:val="clear"/>
        <w:kinsoku/>
        <w:wordWrap/>
        <w:overflowPunct/>
        <w:topLinePunct w:val="0"/>
        <w:autoSpaceDE/>
        <w:autoSpaceDN/>
        <w:bidi w:val="0"/>
        <w:adjustRightInd/>
        <w:snapToGrid/>
        <w:textAlignment w:val="auto"/>
        <w:outlineLvl w:val="1"/>
        <w:rPr>
          <w:rFonts w:hint="default" w:ascii="宋体" w:hAnsi="宋体" w:eastAsia="宋体" w:cs="宋体"/>
          <w:b/>
          <w:bCs/>
          <w:sz w:val="28"/>
          <w:szCs w:val="21"/>
          <w:highlight w:val="none"/>
          <w:lang w:val="en-US" w:eastAsia="zh-CN"/>
        </w:rPr>
      </w:pPr>
      <w:bookmarkStart w:id="26" w:name="_Toc30457"/>
      <w:r>
        <w:rPr>
          <w:rFonts w:hint="eastAsia" w:ascii="宋体" w:hAnsi="宋体" w:eastAsia="宋体" w:cs="宋体"/>
          <w:b/>
          <w:bCs/>
          <w:sz w:val="28"/>
          <w:szCs w:val="21"/>
          <w:highlight w:val="none"/>
          <w:lang w:val="en-US" w:eastAsia="zh-CN"/>
        </w:rPr>
        <w:t>5.1项目建设的系统架构</w:t>
      </w:r>
      <w:bookmarkEnd w:id="26"/>
    </w:p>
    <w:p w14:paraId="33F28784">
      <w:pPr>
        <w:pStyle w:val="8"/>
        <w:shd w:val="clear"/>
        <w:rPr>
          <w:rFonts w:hint="default"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该系统根据工业污染源的主要生产、治理、排放工艺节点对重点工况数据进行采集、传输，并在系统平台按照工艺原理进行数据统计与分析；系统主要由</w:t>
      </w:r>
      <w:r>
        <w:rPr>
          <w:rFonts w:hint="eastAsia" w:cs="Times New Roman"/>
          <w:sz w:val="28"/>
          <w:szCs w:val="21"/>
          <w:highlight w:val="none"/>
          <w:lang w:val="en-US" w:eastAsia="zh-CN"/>
        </w:rPr>
        <w:t>现场端综合监管系统</w:t>
      </w:r>
      <w:r>
        <w:rPr>
          <w:rFonts w:hint="eastAsia" w:ascii="Times New Roman" w:hAnsi="Times New Roman" w:cs="Times New Roman"/>
          <w:sz w:val="28"/>
          <w:szCs w:val="21"/>
          <w:highlight w:val="none"/>
          <w:lang w:val="en-US" w:eastAsia="zh-CN"/>
        </w:rPr>
        <w:t>、网络通讯系统、系统软件平台三部分构成。</w:t>
      </w:r>
      <w:r>
        <w:rPr>
          <w:rFonts w:hint="eastAsia" w:cs="Times New Roman"/>
          <w:sz w:val="28"/>
          <w:szCs w:val="21"/>
          <w:highlight w:val="none"/>
          <w:lang w:val="en-US" w:eastAsia="zh-CN"/>
        </w:rPr>
        <w:t>其中</w:t>
      </w:r>
      <w:r>
        <w:rPr>
          <w:rFonts w:hint="eastAsia" w:ascii="Times New Roman" w:hAnsi="Times New Roman" w:cs="Times New Roman"/>
          <w:sz w:val="28"/>
          <w:szCs w:val="21"/>
          <w:highlight w:val="none"/>
          <w:lang w:val="en-US" w:eastAsia="zh-CN"/>
        </w:rPr>
        <w:t>系统软件平台</w:t>
      </w:r>
      <w:r>
        <w:rPr>
          <w:rFonts w:hint="eastAsia" w:cs="Times New Roman"/>
          <w:sz w:val="28"/>
          <w:szCs w:val="21"/>
          <w:highlight w:val="none"/>
          <w:lang w:val="en-US" w:eastAsia="zh-CN"/>
        </w:rPr>
        <w:t>采用现有系统利旧接收。</w:t>
      </w:r>
    </w:p>
    <w:p w14:paraId="760FDD7A">
      <w:pPr>
        <w:pStyle w:val="8"/>
        <w:shd w:val="clear"/>
        <w:rPr>
          <w:rFonts w:hint="eastAsia" w:ascii="Times New Roman" w:hAnsi="Times New Roman" w:cs="Times New Roman"/>
          <w:sz w:val="28"/>
          <w:szCs w:val="21"/>
          <w:highlight w:val="none"/>
          <w:lang w:val="en-US" w:eastAsia="zh-CN"/>
        </w:rPr>
      </w:pPr>
      <w:r>
        <w:rPr>
          <w:rFonts w:hint="eastAsia" w:cs="Times New Roman"/>
          <w:sz w:val="28"/>
          <w:szCs w:val="21"/>
          <w:highlight w:val="none"/>
          <w:lang w:val="en-US" w:eastAsia="zh-CN"/>
        </w:rPr>
        <w:t>现场端综合监管系统</w:t>
      </w:r>
      <w:r>
        <w:rPr>
          <w:rFonts w:hint="eastAsia" w:ascii="Times New Roman" w:hAnsi="Times New Roman" w:cs="Times New Roman"/>
          <w:sz w:val="28"/>
          <w:szCs w:val="21"/>
          <w:highlight w:val="none"/>
          <w:lang w:val="en-US" w:eastAsia="zh-CN"/>
        </w:rPr>
        <w:t>包含</w:t>
      </w:r>
      <w:r>
        <w:rPr>
          <w:rFonts w:hint="eastAsia" w:cs="Times New Roman"/>
          <w:sz w:val="28"/>
          <w:szCs w:val="21"/>
          <w:highlight w:val="none"/>
          <w:lang w:val="en-US" w:eastAsia="zh-CN"/>
        </w:rPr>
        <w:t>工业数据边缘计算箱</w:t>
      </w:r>
      <w:r>
        <w:rPr>
          <w:rFonts w:hint="eastAsia" w:ascii="Times New Roman" w:hAnsi="Times New Roman" w:cs="Times New Roman"/>
          <w:sz w:val="28"/>
          <w:szCs w:val="21"/>
          <w:highlight w:val="none"/>
          <w:lang w:val="en-US" w:eastAsia="zh-CN"/>
        </w:rPr>
        <w:t>、</w:t>
      </w:r>
      <w:r>
        <w:rPr>
          <w:rFonts w:hint="eastAsia" w:cs="Times New Roman"/>
          <w:sz w:val="28"/>
          <w:szCs w:val="21"/>
          <w:highlight w:val="none"/>
          <w:lang w:val="en-US" w:eastAsia="zh-CN"/>
        </w:rPr>
        <w:t>智能数据边缘计算采集站</w:t>
      </w:r>
      <w:r>
        <w:rPr>
          <w:rFonts w:hint="eastAsia" w:ascii="Times New Roman" w:hAnsi="Times New Roman" w:cs="Times New Roman"/>
          <w:sz w:val="28"/>
          <w:szCs w:val="21"/>
          <w:highlight w:val="none"/>
          <w:lang w:val="en-US" w:eastAsia="zh-CN"/>
        </w:rPr>
        <w:t>等。</w:t>
      </w:r>
      <w:r>
        <w:rPr>
          <w:rFonts w:hint="eastAsia" w:cs="Times New Roman"/>
          <w:sz w:val="28"/>
          <w:szCs w:val="21"/>
          <w:highlight w:val="none"/>
          <w:lang w:val="en-US" w:eastAsia="zh-CN"/>
        </w:rPr>
        <w:t>为实现源头管控，远程监督，</w:t>
      </w:r>
      <w:r>
        <w:rPr>
          <w:rFonts w:hint="eastAsia" w:ascii="Times New Roman" w:hAnsi="Times New Roman" w:cs="Times New Roman"/>
          <w:sz w:val="28"/>
          <w:szCs w:val="21"/>
          <w:highlight w:val="none"/>
          <w:lang w:val="en-US" w:eastAsia="zh-CN"/>
        </w:rPr>
        <w:t>其现场端设备安装在排污单位污染源现场，主要通过</w:t>
      </w:r>
      <w:r>
        <w:rPr>
          <w:rFonts w:hint="eastAsia" w:cs="Times New Roman"/>
          <w:sz w:val="28"/>
          <w:szCs w:val="21"/>
          <w:highlight w:val="none"/>
          <w:lang w:val="en-US" w:eastAsia="zh-CN"/>
        </w:rPr>
        <w:t>工业数据边缘计算箱</w:t>
      </w:r>
      <w:r>
        <w:rPr>
          <w:rFonts w:hint="eastAsia" w:ascii="Times New Roman" w:hAnsi="Times New Roman" w:cs="Times New Roman"/>
          <w:sz w:val="28"/>
          <w:szCs w:val="21"/>
          <w:highlight w:val="none"/>
          <w:lang w:val="en-US" w:eastAsia="zh-CN"/>
        </w:rPr>
        <w:t>的传感技术、硬接软接数据采集技术、有线无线数据传输技术、网络技术等实现数据的及时、准确采集传输。数据监测仪器仪表元器件测量的数据</w:t>
      </w:r>
      <w:r>
        <w:rPr>
          <w:rFonts w:hint="eastAsia" w:cs="Times New Roman"/>
          <w:sz w:val="28"/>
          <w:szCs w:val="21"/>
          <w:highlight w:val="none"/>
          <w:lang w:val="en-US" w:eastAsia="zh-CN"/>
        </w:rPr>
        <w:t>通过工业数据边缘计算箱</w:t>
      </w:r>
      <w:r>
        <w:rPr>
          <w:rFonts w:hint="eastAsia" w:ascii="Times New Roman" w:hAnsi="Times New Roman" w:cs="Times New Roman"/>
          <w:sz w:val="28"/>
          <w:szCs w:val="21"/>
          <w:highlight w:val="none"/>
          <w:lang w:val="en-US" w:eastAsia="zh-CN"/>
        </w:rPr>
        <w:t>传输至</w:t>
      </w:r>
      <w:r>
        <w:rPr>
          <w:rFonts w:hint="eastAsia" w:cs="Times New Roman"/>
          <w:sz w:val="28"/>
          <w:szCs w:val="21"/>
          <w:highlight w:val="none"/>
          <w:lang w:val="en-US" w:eastAsia="zh-CN"/>
        </w:rPr>
        <w:t>智能数据边缘计算采集站</w:t>
      </w:r>
      <w:r>
        <w:rPr>
          <w:rFonts w:hint="eastAsia" w:ascii="Times New Roman" w:hAnsi="Times New Roman" w:cs="Times New Roman"/>
          <w:sz w:val="28"/>
          <w:szCs w:val="21"/>
          <w:highlight w:val="none"/>
          <w:lang w:val="en-US" w:eastAsia="zh-CN"/>
        </w:rPr>
        <w:t>进行汇总，再由其统一传输至系统软件平台。</w:t>
      </w:r>
    </w:p>
    <w:p w14:paraId="68F3C871">
      <w:pPr>
        <w:pStyle w:val="8"/>
        <w:shd w:val="clear"/>
        <w:rPr>
          <w:rFonts w:hint="default"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网络通讯系统网络、应用、安全三大体系基础上，是在主要</w:t>
      </w:r>
      <w:r>
        <w:rPr>
          <w:rFonts w:hint="eastAsia" w:cs="Times New Roman"/>
          <w:sz w:val="28"/>
          <w:szCs w:val="21"/>
          <w:highlight w:val="none"/>
          <w:lang w:val="en-US" w:eastAsia="zh-CN"/>
        </w:rPr>
        <w:t>涉VOCs</w:t>
      </w:r>
      <w:r>
        <w:rPr>
          <w:rFonts w:hint="eastAsia" w:ascii="Times New Roman" w:hAnsi="Times New Roman" w:cs="Times New Roman"/>
          <w:sz w:val="28"/>
          <w:szCs w:val="21"/>
          <w:highlight w:val="none"/>
          <w:lang w:val="en-US" w:eastAsia="zh-CN"/>
        </w:rPr>
        <w:t>工业污染源与软件应用平台采用专线、4G等网络形式组成安全网络，按照HJT212-2017污染物在线监控（监测）系统数据传输标准通讯协议对传输数据进行编辑，保障系统数据的有效利用和功能的充分应用。须</w:t>
      </w:r>
      <w:r>
        <w:rPr>
          <w:rFonts w:hint="eastAsia" w:cs="Times New Roman"/>
          <w:sz w:val="28"/>
          <w:szCs w:val="21"/>
          <w:highlight w:val="none"/>
          <w:lang w:val="en-US" w:eastAsia="zh-CN"/>
        </w:rPr>
        <w:t>实现</w:t>
      </w:r>
      <w:r>
        <w:rPr>
          <w:rFonts w:hint="eastAsia" w:ascii="Times New Roman" w:hAnsi="Times New Roman" w:cs="Times New Roman"/>
          <w:sz w:val="28"/>
          <w:szCs w:val="21"/>
          <w:highlight w:val="none"/>
          <w:lang w:val="en-US" w:eastAsia="zh-CN"/>
        </w:rPr>
        <w:t>连续自动监测监控系统、传输网络和</w:t>
      </w:r>
      <w:r>
        <w:rPr>
          <w:rFonts w:hint="eastAsia" w:cs="Times New Roman"/>
          <w:sz w:val="28"/>
          <w:szCs w:val="21"/>
          <w:highlight w:val="none"/>
          <w:lang w:val="en-US" w:eastAsia="zh-CN"/>
        </w:rPr>
        <w:t>现有</w:t>
      </w:r>
      <w:r>
        <w:rPr>
          <w:rFonts w:hint="eastAsia" w:ascii="Times New Roman" w:hAnsi="Times New Roman" w:cs="Times New Roman"/>
          <w:sz w:val="28"/>
          <w:szCs w:val="21"/>
          <w:highlight w:val="none"/>
          <w:lang w:val="en-US" w:eastAsia="zh-CN"/>
        </w:rPr>
        <w:t>系统之间的连通，污染物排放过程工况及其他污染物连续自动监测系统之间的数据交换传输、现场机与上位机之间的数据传输网络等应符合HJ212有关要求。</w:t>
      </w:r>
    </w:p>
    <w:p w14:paraId="1D58417A">
      <w:pPr>
        <w:pStyle w:val="8"/>
        <w:shd w:val="clear"/>
        <w:rPr>
          <w:rFonts w:hint="eastAsia" w:cs="Times New Roman"/>
          <w:sz w:val="28"/>
          <w:szCs w:val="21"/>
          <w:highlight w:val="none"/>
          <w:lang w:val="en-US" w:eastAsia="zh-CN"/>
        </w:rPr>
      </w:pPr>
      <w:r>
        <w:rPr>
          <w:rFonts w:hint="eastAsia" w:ascii="Times New Roman" w:hAnsi="Times New Roman" w:cs="Times New Roman"/>
          <w:sz w:val="28"/>
          <w:szCs w:val="21"/>
          <w:highlight w:val="none"/>
          <w:lang w:val="en-US" w:eastAsia="zh-CN"/>
        </w:rPr>
        <w:t>系统软件平台是指</w:t>
      </w:r>
      <w:r>
        <w:rPr>
          <w:rFonts w:hint="eastAsia" w:cs="Times New Roman"/>
          <w:sz w:val="28"/>
          <w:szCs w:val="21"/>
          <w:highlight w:val="none"/>
          <w:lang w:val="en-US" w:eastAsia="zh-CN"/>
        </w:rPr>
        <w:t>现有智慧环保管理平台</w:t>
      </w:r>
      <w:r>
        <w:rPr>
          <w:rFonts w:hint="eastAsia" w:ascii="Times New Roman" w:hAnsi="Times New Roman" w:cs="Times New Roman"/>
          <w:sz w:val="28"/>
          <w:szCs w:val="21"/>
          <w:highlight w:val="none"/>
          <w:lang w:val="en-US" w:eastAsia="zh-CN"/>
        </w:rPr>
        <w:t>，主要用于对工业源实施关键工况参数监控的信息分析、预警与管理。包含接收端程序、搭建功能模块化数据库、应用触发程序及系统功能应用前端。通过软件应用平台表达和实现我市对工业污染源企业的全过程环境监控、监督、评价等具体应用功能。</w:t>
      </w:r>
    </w:p>
    <w:p w14:paraId="4C6374A2">
      <w:pPr>
        <w:pStyle w:val="8"/>
        <w:keepNext w:val="0"/>
        <w:keepLines w:val="0"/>
        <w:pageBreakBefore w:val="0"/>
        <w:widowControl w:val="0"/>
        <w:shd w:val="clear"/>
        <w:kinsoku/>
        <w:wordWrap/>
        <w:overflowPunct/>
        <w:topLinePunct w:val="0"/>
        <w:autoSpaceDE/>
        <w:autoSpaceDN/>
        <w:bidi w:val="0"/>
        <w:adjustRightInd/>
        <w:snapToGrid/>
        <w:textAlignment w:val="auto"/>
        <w:outlineLvl w:val="1"/>
        <w:rPr>
          <w:rFonts w:hint="default" w:ascii="宋体" w:hAnsi="宋体" w:eastAsia="宋体" w:cs="宋体"/>
          <w:b/>
          <w:bCs/>
          <w:sz w:val="28"/>
          <w:szCs w:val="21"/>
          <w:highlight w:val="none"/>
          <w:lang w:val="en-US" w:eastAsia="zh-CN"/>
        </w:rPr>
      </w:pPr>
      <w:bookmarkStart w:id="27" w:name="_Toc32503"/>
      <w:r>
        <w:rPr>
          <w:rFonts w:hint="eastAsia" w:ascii="宋体" w:hAnsi="宋体" w:eastAsia="宋体" w:cs="宋体"/>
          <w:b/>
          <w:bCs/>
          <w:sz w:val="28"/>
          <w:szCs w:val="21"/>
          <w:highlight w:val="none"/>
          <w:lang w:val="en-US" w:eastAsia="zh-CN"/>
        </w:rPr>
        <w:t>5.2项目实施主要监管应用</w:t>
      </w:r>
      <w:bookmarkEnd w:id="27"/>
    </w:p>
    <w:p w14:paraId="30C01A04">
      <w:pPr>
        <w:pStyle w:val="8"/>
        <w:shd w:val="clear"/>
        <w:rPr>
          <w:rFonts w:hint="eastAsia" w:ascii="仿宋" w:hAnsi="仿宋" w:cs="仿宋"/>
          <w:sz w:val="28"/>
          <w:szCs w:val="28"/>
          <w:highlight w:val="none"/>
          <w:lang w:val="en-US" w:eastAsia="zh-CN"/>
        </w:rPr>
      </w:pPr>
      <w:r>
        <w:rPr>
          <w:rFonts w:hint="eastAsia" w:ascii="仿宋" w:hAnsi="仿宋" w:cs="仿宋"/>
          <w:sz w:val="28"/>
          <w:szCs w:val="28"/>
          <w:highlight w:val="none"/>
          <w:lang w:val="en-US" w:eastAsia="zh-CN"/>
        </w:rPr>
        <w:t>（1）</w:t>
      </w:r>
      <w:r>
        <w:rPr>
          <w:rFonts w:hint="eastAsia" w:ascii="仿宋" w:hAnsi="仿宋" w:cs="仿宋"/>
          <w:bCs/>
          <w:sz w:val="28"/>
          <w:szCs w:val="28"/>
          <w:highlight w:val="none"/>
          <w:lang w:val="en-US" w:eastAsia="zh-CN"/>
        </w:rPr>
        <w:t>挥发性有机物</w:t>
      </w:r>
      <w:r>
        <w:rPr>
          <w:rFonts w:hint="eastAsia" w:ascii="仿宋" w:hAnsi="仿宋" w:eastAsia="仿宋" w:cs="仿宋"/>
          <w:bCs/>
          <w:sz w:val="28"/>
          <w:szCs w:val="28"/>
          <w:highlight w:val="none"/>
          <w:lang w:val="en-US" w:eastAsia="zh-CN"/>
        </w:rPr>
        <w:t>总量</w:t>
      </w:r>
      <w:r>
        <w:rPr>
          <w:rFonts w:hint="eastAsia" w:ascii="仿宋" w:hAnsi="仿宋" w:eastAsia="仿宋" w:cs="仿宋"/>
          <w:bCs/>
          <w:sz w:val="28"/>
          <w:szCs w:val="28"/>
          <w:highlight w:val="none"/>
        </w:rPr>
        <w:t>减排</w:t>
      </w:r>
      <w:r>
        <w:rPr>
          <w:rFonts w:hint="eastAsia" w:ascii="仿宋" w:hAnsi="仿宋" w:eastAsia="仿宋" w:cs="仿宋"/>
          <w:bCs/>
          <w:sz w:val="28"/>
          <w:szCs w:val="28"/>
          <w:highlight w:val="none"/>
          <w:lang w:eastAsia="zh-CN"/>
        </w:rPr>
        <w:t>、</w:t>
      </w:r>
      <w:r>
        <w:rPr>
          <w:rFonts w:hint="eastAsia" w:ascii="仿宋" w:hAnsi="仿宋" w:eastAsia="仿宋" w:cs="仿宋"/>
          <w:bCs/>
          <w:sz w:val="28"/>
          <w:szCs w:val="28"/>
          <w:highlight w:val="none"/>
          <w:lang w:val="en-US" w:eastAsia="zh-CN"/>
        </w:rPr>
        <w:t>错峰减排的减排量精准核算</w:t>
      </w:r>
      <w:r>
        <w:rPr>
          <w:rFonts w:hint="eastAsia" w:ascii="仿宋" w:hAnsi="仿宋" w:eastAsia="仿宋" w:cs="仿宋"/>
          <w:bCs/>
          <w:sz w:val="28"/>
          <w:szCs w:val="28"/>
          <w:highlight w:val="none"/>
        </w:rPr>
        <w:t>管理</w:t>
      </w:r>
      <w:r>
        <w:rPr>
          <w:rFonts w:hint="eastAsia" w:ascii="仿宋" w:hAnsi="仿宋" w:cs="仿宋"/>
          <w:bCs/>
          <w:sz w:val="28"/>
          <w:szCs w:val="28"/>
          <w:highlight w:val="none"/>
          <w:lang w:val="en-US" w:eastAsia="zh-CN"/>
        </w:rPr>
        <w:t>功能。通过对全市VOCs污染物排放量占比71.5%的117家重点企业的全方位监控、精准配额，实现对全市AQI综指关联因子“臭氧”产生前体物（VOCs）总量减排、错峰减排的减排量精准核算管理。</w:t>
      </w:r>
    </w:p>
    <w:p w14:paraId="38FDAC63">
      <w:pPr>
        <w:pStyle w:val="8"/>
        <w:shd w:val="clear"/>
        <w:rPr>
          <w:rFonts w:hint="default" w:ascii="仿宋" w:hAnsi="仿宋" w:cs="仿宋"/>
          <w:sz w:val="28"/>
          <w:szCs w:val="28"/>
          <w:highlight w:val="none"/>
          <w:lang w:val="en-US" w:eastAsia="zh-CN"/>
        </w:rPr>
      </w:pPr>
      <w:r>
        <w:rPr>
          <w:rFonts w:hint="eastAsia" w:ascii="仿宋" w:hAnsi="仿宋" w:cs="仿宋"/>
          <w:sz w:val="28"/>
          <w:szCs w:val="28"/>
          <w:highlight w:val="none"/>
          <w:lang w:val="en-US" w:eastAsia="zh-CN"/>
        </w:rPr>
        <w:t>（2）区域污染物排放总量控制功能。结合气象情况，分高温、低温时段（即错峰生产）进行生产排污控制，优化同期排污比例，把排放量精准的分解到每个企业、每套产污设备上，最终实现重污染天气有效消减。提供区域减排智能分析与监管服务，本项目针对各区域及各区域当前的空气指标情况。可对空气质量监测站点513区域内主要调控污染物指标进行智能分析与分配，按照主要调控污染物属性智能关联区域内贡献排污企业，从关联排污企业生产强度、产能可调控区间以及排污强度做智能减排分析，以“多排多限、少排少限、不排不限”为基准原则进行智能分配。并对分配减排指标的排污企业进行精细化管控，管控落实到企业生产工艺及治理工艺，同时做到提供必要的减排考核依据。</w:t>
      </w:r>
    </w:p>
    <w:p w14:paraId="2A5ACD92">
      <w:pPr>
        <w:pStyle w:val="8"/>
        <w:shd w:val="clear"/>
        <w:rPr>
          <w:rFonts w:hint="default" w:ascii="仿宋" w:hAnsi="仿宋" w:cs="仿宋"/>
          <w:sz w:val="28"/>
          <w:szCs w:val="28"/>
          <w:highlight w:val="none"/>
          <w:lang w:val="en-US" w:eastAsia="zh-CN"/>
        </w:rPr>
      </w:pPr>
      <w:r>
        <w:rPr>
          <w:rFonts w:hint="eastAsia" w:ascii="仿宋" w:hAnsi="仿宋" w:cs="仿宋"/>
          <w:sz w:val="28"/>
          <w:szCs w:val="28"/>
          <w:highlight w:val="none"/>
          <w:lang w:val="en-US" w:eastAsia="zh-CN"/>
        </w:rPr>
        <w:t>（3）涉VOCs工业源精细化监管功能。对企业生产设施、污染防治设施运行状态实行24小时不间断监控，有效发现涉VOCs排污企业污染防治设施闲置、差别化管控、错峰生产调控和重污染天气应急响应落实等问题。按照各涉VOCs工业源企业重污染天气应急预案要求，对相关工业源企业进行履责情况的非现场监督监管。实现关于生产设施设备运行数量、运行频次等可量化预案指标的监督监管。为保障工业源生产治理设施同步运行得到有效管控，根据工业源企业的具体治理工艺，采集温度、压力、频率、废气排放量等关键工况参数监控，可以准确判断治理设施的运行状态。项目建设后，将对治理设施标记为治理设施运行、治理设施无效运行、治理设施低效运行、治理设施停运等状态，实现治理设施运行的精细化监管。</w:t>
      </w:r>
    </w:p>
    <w:p w14:paraId="159EA13B">
      <w:pPr>
        <w:pStyle w:val="8"/>
        <w:shd w:val="clear"/>
        <w:rPr>
          <w:rFonts w:hint="eastAsia" w:ascii="仿宋" w:hAnsi="仿宋" w:cs="仿宋"/>
          <w:sz w:val="28"/>
          <w:szCs w:val="28"/>
          <w:highlight w:val="none"/>
          <w:lang w:val="en-US" w:eastAsia="zh-CN"/>
        </w:rPr>
      </w:pPr>
      <w:r>
        <w:rPr>
          <w:rFonts w:hint="eastAsia" w:ascii="仿宋" w:hAnsi="仿宋" w:cs="仿宋"/>
          <w:sz w:val="28"/>
          <w:szCs w:val="28"/>
          <w:highlight w:val="none"/>
          <w:lang w:val="en-US" w:eastAsia="zh-CN"/>
        </w:rPr>
        <w:t>（4）非现场执法应用。按照无事不扰、无据不查的原则。通过系统建设，直接获取监控排污企业治污能力及运转负荷的关键数据，实现对排污单位治污结果和治污效率的全面监管。健全远程监控执法措施和能力，实现涉VOCs类违法排污问题非现场查处。</w:t>
      </w:r>
    </w:p>
    <w:p w14:paraId="72553E61">
      <w:pPr>
        <w:pStyle w:val="8"/>
        <w:keepNext w:val="0"/>
        <w:keepLines w:val="0"/>
        <w:pageBreakBefore w:val="0"/>
        <w:widowControl w:val="0"/>
        <w:shd w:val="clear"/>
        <w:kinsoku/>
        <w:wordWrap/>
        <w:overflowPunct/>
        <w:topLinePunct w:val="0"/>
        <w:autoSpaceDE/>
        <w:autoSpaceDN/>
        <w:bidi w:val="0"/>
        <w:adjustRightInd/>
        <w:snapToGrid/>
        <w:textAlignment w:val="auto"/>
        <w:outlineLvl w:val="1"/>
        <w:rPr>
          <w:rFonts w:hint="default" w:ascii="宋体" w:hAnsi="宋体" w:eastAsia="宋体" w:cs="宋体"/>
          <w:b/>
          <w:bCs/>
          <w:sz w:val="28"/>
          <w:szCs w:val="21"/>
          <w:highlight w:val="none"/>
          <w:lang w:val="en-US" w:eastAsia="zh-CN"/>
        </w:rPr>
      </w:pPr>
      <w:bookmarkStart w:id="28" w:name="_Toc20238"/>
      <w:r>
        <w:rPr>
          <w:rFonts w:hint="eastAsia" w:ascii="宋体" w:hAnsi="宋体" w:eastAsia="宋体" w:cs="宋体"/>
          <w:b/>
          <w:bCs/>
          <w:sz w:val="28"/>
          <w:szCs w:val="21"/>
          <w:highlight w:val="none"/>
          <w:lang w:val="en-US" w:eastAsia="zh-CN"/>
        </w:rPr>
        <w:t>5.3项目实施内容</w:t>
      </w:r>
      <w:bookmarkEnd w:id="28"/>
    </w:p>
    <w:p w14:paraId="43AA086F">
      <w:pPr>
        <w:pStyle w:val="8"/>
        <w:shd w:val="clear"/>
        <w:rPr>
          <w:rFonts w:hint="default"/>
          <w:sz w:val="28"/>
          <w:szCs w:val="21"/>
          <w:highlight w:val="none"/>
          <w:lang w:val="en-US"/>
        </w:rPr>
      </w:pPr>
      <w:r>
        <w:rPr>
          <w:rFonts w:hint="eastAsia" w:ascii="Times New Roman" w:hAnsi="Times New Roman" w:cs="Times New Roman"/>
          <w:sz w:val="28"/>
          <w:szCs w:val="21"/>
          <w:highlight w:val="none"/>
          <w:lang w:val="en-US" w:eastAsia="zh-CN"/>
        </w:rPr>
        <w:t>项目实施内容</w:t>
      </w:r>
      <w:r>
        <w:rPr>
          <w:rFonts w:hint="eastAsia" w:cs="Times New Roman"/>
          <w:sz w:val="28"/>
          <w:szCs w:val="21"/>
          <w:highlight w:val="none"/>
          <w:lang w:val="en-US" w:eastAsia="zh-CN"/>
        </w:rPr>
        <w:t>主要</w:t>
      </w:r>
      <w:r>
        <w:rPr>
          <w:rFonts w:hint="eastAsia" w:ascii="Times New Roman" w:hAnsi="Times New Roman" w:cs="Times New Roman"/>
          <w:sz w:val="28"/>
          <w:szCs w:val="21"/>
          <w:highlight w:val="none"/>
          <w:lang w:val="en-US" w:eastAsia="zh-CN"/>
        </w:rPr>
        <w:t>包含</w:t>
      </w:r>
      <w:r>
        <w:rPr>
          <w:rFonts w:hint="eastAsia" w:cs="Times New Roman"/>
          <w:sz w:val="28"/>
          <w:szCs w:val="21"/>
          <w:highlight w:val="none"/>
          <w:lang w:val="en-US" w:eastAsia="zh-CN"/>
        </w:rPr>
        <w:t>现场端综合监管系统</w:t>
      </w:r>
      <w:r>
        <w:rPr>
          <w:rFonts w:hint="eastAsia" w:ascii="Times New Roman" w:hAnsi="Times New Roman" w:cs="Times New Roman"/>
          <w:sz w:val="28"/>
          <w:szCs w:val="21"/>
          <w:highlight w:val="none"/>
          <w:lang w:val="en-US" w:eastAsia="zh-CN"/>
        </w:rPr>
        <w:t>建设和</w:t>
      </w:r>
      <w:r>
        <w:rPr>
          <w:rFonts w:hint="eastAsia" w:cs="Times New Roman"/>
          <w:sz w:val="28"/>
          <w:szCs w:val="21"/>
          <w:highlight w:val="none"/>
          <w:lang w:val="en-US" w:eastAsia="zh-CN"/>
        </w:rPr>
        <w:t>现有智慧环保管理平台（利旧）的数据接收工作</w:t>
      </w:r>
      <w:r>
        <w:rPr>
          <w:rFonts w:hint="eastAsia" w:ascii="Times New Roman" w:hAnsi="Times New Roman" w:cs="Times New Roman"/>
          <w:sz w:val="28"/>
          <w:szCs w:val="21"/>
          <w:highlight w:val="none"/>
          <w:lang w:val="en-US" w:eastAsia="zh-CN"/>
        </w:rPr>
        <w:t>两大部分。</w:t>
      </w:r>
      <w:r>
        <w:rPr>
          <w:rFonts w:hint="eastAsia" w:cs="Times New Roman"/>
          <w:sz w:val="28"/>
          <w:szCs w:val="21"/>
          <w:highlight w:val="none"/>
          <w:lang w:val="en-US" w:eastAsia="zh-CN"/>
        </w:rPr>
        <w:t>建设主体为现场端综合监管系统</w:t>
      </w:r>
      <w:r>
        <w:rPr>
          <w:rFonts w:hint="eastAsia" w:ascii="Times New Roman" w:hAnsi="Times New Roman" w:cs="Times New Roman"/>
          <w:sz w:val="28"/>
          <w:szCs w:val="21"/>
          <w:highlight w:val="none"/>
          <w:lang w:val="en-US" w:eastAsia="zh-CN"/>
        </w:rPr>
        <w:t>建设</w:t>
      </w:r>
      <w:r>
        <w:rPr>
          <w:rFonts w:hint="eastAsia" w:cs="Times New Roman"/>
          <w:sz w:val="28"/>
          <w:szCs w:val="21"/>
          <w:highlight w:val="none"/>
          <w:lang w:val="en-US" w:eastAsia="zh-CN"/>
        </w:rPr>
        <w:t>，包含保定市涉VOCs工业源重点区域</w:t>
      </w:r>
      <w:r>
        <w:rPr>
          <w:rFonts w:hint="eastAsia" w:ascii="Times New Roman" w:hAnsi="Times New Roman" w:cs="Times New Roman"/>
          <w:sz w:val="28"/>
          <w:szCs w:val="21"/>
          <w:highlight w:val="none"/>
          <w:lang w:val="en-US" w:eastAsia="zh-CN"/>
        </w:rPr>
        <w:t>主要</w:t>
      </w:r>
      <w:r>
        <w:rPr>
          <w:rFonts w:hint="eastAsia" w:cs="Times New Roman"/>
          <w:sz w:val="28"/>
          <w:szCs w:val="21"/>
          <w:highlight w:val="none"/>
          <w:lang w:val="en-US" w:eastAsia="zh-CN"/>
        </w:rPr>
        <w:t>涉VOCs</w:t>
      </w:r>
      <w:r>
        <w:rPr>
          <w:rFonts w:hint="eastAsia" w:ascii="Times New Roman" w:hAnsi="Times New Roman" w:cs="Times New Roman"/>
          <w:sz w:val="28"/>
          <w:szCs w:val="21"/>
          <w:highlight w:val="none"/>
          <w:lang w:val="en-US" w:eastAsia="zh-CN"/>
        </w:rPr>
        <w:t>工业源安装</w:t>
      </w:r>
      <w:r>
        <w:rPr>
          <w:rFonts w:hint="eastAsia" w:cs="Times New Roman"/>
          <w:sz w:val="28"/>
          <w:szCs w:val="21"/>
          <w:highlight w:val="none"/>
          <w:lang w:val="en-US" w:eastAsia="zh-CN"/>
        </w:rPr>
        <w:t>92套智能数据边缘计算采集站</w:t>
      </w:r>
      <w:r>
        <w:rPr>
          <w:rFonts w:hint="eastAsia" w:ascii="Times New Roman" w:hAnsi="Times New Roman" w:cs="Times New Roman"/>
          <w:sz w:val="28"/>
          <w:szCs w:val="21"/>
          <w:highlight w:val="none"/>
          <w:lang w:val="en-US" w:eastAsia="zh-CN"/>
        </w:rPr>
        <w:t>，</w:t>
      </w:r>
      <w:r>
        <w:rPr>
          <w:rFonts w:hint="eastAsia" w:cs="Times New Roman"/>
          <w:sz w:val="28"/>
          <w:szCs w:val="21"/>
          <w:highlight w:val="none"/>
          <w:lang w:val="en-US" w:eastAsia="zh-CN"/>
        </w:rPr>
        <w:t>324套工业数据边缘计算箱，实现保定市重点区域涉VOCs</w:t>
      </w:r>
      <w:r>
        <w:rPr>
          <w:rFonts w:hint="eastAsia" w:ascii="Times New Roman" w:hAnsi="Times New Roman" w:cs="Times New Roman"/>
          <w:sz w:val="28"/>
          <w:szCs w:val="21"/>
          <w:highlight w:val="none"/>
          <w:lang w:val="en-US" w:eastAsia="zh-CN"/>
        </w:rPr>
        <w:t>工业源</w:t>
      </w:r>
      <w:r>
        <w:rPr>
          <w:rFonts w:hint="eastAsia" w:cs="Times New Roman"/>
          <w:sz w:val="28"/>
          <w:szCs w:val="21"/>
          <w:highlight w:val="none"/>
          <w:lang w:val="en-US" w:eastAsia="zh-CN"/>
        </w:rPr>
        <w:t>精细化监管全覆盖。</w:t>
      </w:r>
    </w:p>
    <w:p w14:paraId="6A19A1E7">
      <w:pPr>
        <w:pStyle w:val="8"/>
        <w:keepNext w:val="0"/>
        <w:keepLines w:val="0"/>
        <w:pageBreakBefore w:val="0"/>
        <w:widowControl w:val="0"/>
        <w:shd w:val="clear"/>
        <w:kinsoku/>
        <w:wordWrap/>
        <w:overflowPunct/>
        <w:topLinePunct w:val="0"/>
        <w:autoSpaceDE/>
        <w:autoSpaceDN/>
        <w:bidi w:val="0"/>
        <w:adjustRightInd/>
        <w:snapToGrid/>
        <w:textAlignment w:val="auto"/>
        <w:outlineLvl w:val="3"/>
        <w:rPr>
          <w:rFonts w:hint="eastAsia" w:asciiTheme="majorEastAsia" w:hAnsiTheme="majorEastAsia" w:eastAsiaTheme="majorEastAsia" w:cstheme="majorEastAsia"/>
          <w:b/>
          <w:bCs/>
          <w:sz w:val="28"/>
          <w:szCs w:val="21"/>
          <w:highlight w:val="none"/>
          <w:lang w:val="en-US" w:eastAsia="zh-CN"/>
        </w:rPr>
      </w:pPr>
      <w:r>
        <w:rPr>
          <w:rFonts w:hint="eastAsia" w:ascii="宋体" w:hAnsi="宋体" w:eastAsia="宋体" w:cs="宋体"/>
          <w:b/>
          <w:bCs/>
          <w:sz w:val="28"/>
          <w:szCs w:val="21"/>
          <w:highlight w:val="none"/>
          <w:lang w:val="en-US" w:eastAsia="zh-CN"/>
        </w:rPr>
        <w:t>5.3</w:t>
      </w:r>
      <w:r>
        <w:rPr>
          <w:rFonts w:hint="eastAsia" w:asciiTheme="majorEastAsia" w:hAnsiTheme="majorEastAsia" w:eastAsiaTheme="majorEastAsia" w:cstheme="majorEastAsia"/>
          <w:b/>
          <w:bCs/>
          <w:sz w:val="28"/>
          <w:szCs w:val="21"/>
          <w:highlight w:val="none"/>
          <w:lang w:val="en-US" w:eastAsia="zh-CN"/>
        </w:rPr>
        <w:t>.1现场端综合监管系统建设</w:t>
      </w:r>
    </w:p>
    <w:p w14:paraId="7150A1F3">
      <w:pPr>
        <w:pStyle w:val="8"/>
        <w:shd w:val="clear"/>
        <w:rPr>
          <w:rFonts w:hint="eastAsia" w:ascii="Times New Roman" w:hAnsi="Times New Roman" w:cs="Times New Roman"/>
          <w:sz w:val="28"/>
          <w:szCs w:val="21"/>
          <w:highlight w:val="none"/>
          <w:lang w:val="en-US" w:eastAsia="zh-CN"/>
        </w:rPr>
      </w:pPr>
      <w:r>
        <w:rPr>
          <w:rFonts w:hint="eastAsia"/>
          <w:sz w:val="28"/>
          <w:szCs w:val="21"/>
          <w:highlight w:val="none"/>
          <w:lang w:val="en-US" w:eastAsia="zh-CN"/>
        </w:rPr>
        <w:t>项目通过</w:t>
      </w:r>
      <w:r>
        <w:rPr>
          <w:rFonts w:hint="eastAsia" w:cs="Times New Roman"/>
          <w:sz w:val="28"/>
          <w:szCs w:val="21"/>
          <w:highlight w:val="none"/>
          <w:lang w:val="en-US" w:eastAsia="zh-CN"/>
        </w:rPr>
        <w:t>工业数据边缘计算箱</w:t>
      </w:r>
      <w:r>
        <w:rPr>
          <w:rFonts w:hint="eastAsia" w:ascii="Times New Roman" w:hAnsi="Times New Roman" w:cs="Times New Roman"/>
          <w:sz w:val="28"/>
          <w:szCs w:val="21"/>
          <w:highlight w:val="none"/>
          <w:lang w:val="en-US" w:eastAsia="zh-CN"/>
        </w:rPr>
        <w:t>采集工业源生产、治理等工况参数采集，通过</w:t>
      </w:r>
      <w:r>
        <w:rPr>
          <w:rFonts w:hint="eastAsia" w:cs="Times New Roman"/>
          <w:sz w:val="28"/>
          <w:szCs w:val="21"/>
          <w:highlight w:val="none"/>
          <w:lang w:val="en-US" w:eastAsia="zh-CN"/>
        </w:rPr>
        <w:t>智能数据边缘计算采集站</w:t>
      </w:r>
      <w:r>
        <w:rPr>
          <w:rFonts w:hint="eastAsia" w:ascii="Times New Roman" w:hAnsi="Times New Roman" w:cs="Times New Roman"/>
          <w:sz w:val="28"/>
          <w:szCs w:val="21"/>
          <w:highlight w:val="none"/>
          <w:lang w:val="en-US" w:eastAsia="zh-CN"/>
        </w:rPr>
        <w:t>汇集与传输工业源工况数据，实时监控工业源各类</w:t>
      </w:r>
      <w:r>
        <w:rPr>
          <w:rFonts w:hint="eastAsia" w:cs="Times New Roman"/>
          <w:sz w:val="28"/>
          <w:szCs w:val="21"/>
          <w:highlight w:val="none"/>
          <w:lang w:val="en-US" w:eastAsia="zh-CN"/>
        </w:rPr>
        <w:t>涉VOCs</w:t>
      </w:r>
      <w:r>
        <w:rPr>
          <w:rFonts w:hint="eastAsia" w:ascii="Times New Roman" w:hAnsi="Times New Roman" w:cs="Times New Roman"/>
          <w:sz w:val="28"/>
          <w:szCs w:val="21"/>
          <w:highlight w:val="none"/>
          <w:lang w:val="en-US" w:eastAsia="zh-CN"/>
        </w:rPr>
        <w:t>生产、治理、排放活动，实现对区域内工业源非现场的全过程监控监管。项目共涉及在</w:t>
      </w:r>
      <w:r>
        <w:rPr>
          <w:rFonts w:hint="eastAsia" w:cs="Times New Roman"/>
          <w:sz w:val="28"/>
          <w:szCs w:val="21"/>
          <w:highlight w:val="none"/>
          <w:lang w:val="en-US" w:eastAsia="zh-CN"/>
        </w:rPr>
        <w:t>涉VOCs</w:t>
      </w:r>
      <w:r>
        <w:rPr>
          <w:rFonts w:hint="eastAsia" w:ascii="Times New Roman" w:hAnsi="Times New Roman" w:cs="Times New Roman"/>
          <w:sz w:val="28"/>
          <w:szCs w:val="21"/>
          <w:highlight w:val="none"/>
          <w:lang w:val="en-US" w:eastAsia="zh-CN"/>
        </w:rPr>
        <w:t>工业源安装</w:t>
      </w:r>
      <w:r>
        <w:rPr>
          <w:rFonts w:hint="eastAsia" w:cs="Times New Roman"/>
          <w:sz w:val="28"/>
          <w:szCs w:val="21"/>
          <w:highlight w:val="none"/>
          <w:lang w:val="en-US" w:eastAsia="zh-CN"/>
        </w:rPr>
        <w:t>92套智能数据边缘计算采集站</w:t>
      </w:r>
      <w:r>
        <w:rPr>
          <w:rFonts w:hint="eastAsia" w:ascii="Times New Roman" w:hAnsi="Times New Roman" w:cs="Times New Roman"/>
          <w:sz w:val="28"/>
          <w:szCs w:val="21"/>
          <w:highlight w:val="none"/>
          <w:lang w:val="en-US" w:eastAsia="zh-CN"/>
        </w:rPr>
        <w:t>，</w:t>
      </w:r>
      <w:r>
        <w:rPr>
          <w:rFonts w:hint="eastAsia" w:cs="Times New Roman"/>
          <w:sz w:val="28"/>
          <w:szCs w:val="21"/>
          <w:highlight w:val="none"/>
          <w:lang w:val="en-US" w:eastAsia="zh-CN"/>
        </w:rPr>
        <w:t>324套工业数据边缘计算箱</w:t>
      </w:r>
      <w:r>
        <w:rPr>
          <w:rFonts w:hint="eastAsia" w:ascii="Times New Roman" w:hAnsi="Times New Roman" w:cs="Times New Roman"/>
          <w:sz w:val="28"/>
          <w:szCs w:val="21"/>
          <w:highlight w:val="none"/>
          <w:lang w:val="en-US" w:eastAsia="zh-CN"/>
        </w:rPr>
        <w:t>。初步规划，每家</w:t>
      </w:r>
      <w:r>
        <w:rPr>
          <w:rFonts w:hint="eastAsia" w:cs="Times New Roman"/>
          <w:sz w:val="28"/>
          <w:szCs w:val="21"/>
          <w:highlight w:val="none"/>
          <w:lang w:val="en-US" w:eastAsia="zh-CN"/>
        </w:rPr>
        <w:t>涉VOCs</w:t>
      </w:r>
      <w:r>
        <w:rPr>
          <w:rFonts w:hint="eastAsia" w:ascii="Times New Roman" w:hAnsi="Times New Roman" w:cs="Times New Roman"/>
          <w:sz w:val="28"/>
          <w:szCs w:val="21"/>
          <w:highlight w:val="none"/>
          <w:lang w:val="en-US" w:eastAsia="zh-CN"/>
        </w:rPr>
        <w:t>工业源安装1</w:t>
      </w:r>
      <w:r>
        <w:rPr>
          <w:rFonts w:hint="eastAsia" w:cs="Times New Roman"/>
          <w:sz w:val="28"/>
          <w:szCs w:val="21"/>
          <w:highlight w:val="none"/>
          <w:lang w:val="en-US" w:eastAsia="zh-CN"/>
        </w:rPr>
        <w:t>套智能数据边缘计算采集站</w:t>
      </w:r>
      <w:r>
        <w:rPr>
          <w:rFonts w:hint="eastAsia" w:ascii="Times New Roman" w:hAnsi="Times New Roman" w:cs="Times New Roman"/>
          <w:sz w:val="28"/>
          <w:szCs w:val="21"/>
          <w:highlight w:val="none"/>
          <w:lang w:val="en-US" w:eastAsia="zh-CN"/>
        </w:rPr>
        <w:t>，</w:t>
      </w:r>
      <w:r>
        <w:rPr>
          <w:rFonts w:hint="eastAsia" w:cs="Times New Roman"/>
          <w:sz w:val="28"/>
          <w:szCs w:val="21"/>
          <w:highlight w:val="none"/>
          <w:lang w:val="en-US" w:eastAsia="zh-CN"/>
        </w:rPr>
        <w:t>每家涉VOCs工业源根据现场实际勘察情况安装3~4套工业数据边缘计算箱（共计324套）</w:t>
      </w:r>
      <w:r>
        <w:rPr>
          <w:rFonts w:hint="eastAsia" w:ascii="Times New Roman" w:hAnsi="Times New Roman" w:cs="Times New Roman"/>
          <w:sz w:val="28"/>
          <w:szCs w:val="21"/>
          <w:highlight w:val="none"/>
          <w:lang w:val="en-US" w:eastAsia="zh-CN"/>
        </w:rPr>
        <w:t>。能够极大补充单一用电监控上功能的不足，以判定直接环境违法线索为导向。如治理设施在特定温度条件下才能达到污染物的有效去除，再比如橡胶行业硫化工序主要用能是蒸汽，生产期间几乎不用电等情况，需使用工业传感的技术方式进行数据采集与逻辑判定。从监控点位、应用功能与行业覆盖上可形成技术互补与盲点覆盖，确保企业生产各环节相关配置参数和状态的监测和分析，对生产过程中产生的污染等进行有效地监控。</w:t>
      </w:r>
    </w:p>
    <w:p w14:paraId="3C3FD328">
      <w:pPr>
        <w:pStyle w:val="8"/>
        <w:shd w:val="clear"/>
        <w:ind w:left="0" w:leftChars="0" w:firstLine="0" w:firstLineChars="0"/>
        <w:rPr>
          <w:rFonts w:hint="default" w:eastAsia="仿宋"/>
          <w:sz w:val="28"/>
          <w:szCs w:val="21"/>
          <w:highlight w:val="none"/>
          <w:lang w:val="en-US" w:eastAsia="zh-CN"/>
        </w:rPr>
      </w:pPr>
      <w:r>
        <w:rPr>
          <w:rFonts w:ascii="仿宋" w:hAnsi="仿宋" w:eastAsia="仿宋"/>
          <w:sz w:val="32"/>
          <w:szCs w:val="32"/>
          <w:highlight w:val="none"/>
        </w:rPr>
        <w:drawing>
          <wp:inline distT="0" distB="0" distL="0" distR="0">
            <wp:extent cx="5274310" cy="2258060"/>
            <wp:effectExtent l="0" t="0" r="0" b="0"/>
            <wp:docPr id="6271407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140735"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2258060"/>
                    </a:xfrm>
                    <a:prstGeom prst="rect">
                      <a:avLst/>
                    </a:prstGeom>
                  </pic:spPr>
                </pic:pic>
              </a:graphicData>
            </a:graphic>
          </wp:inline>
        </w:drawing>
      </w:r>
    </w:p>
    <w:p w14:paraId="7670C460">
      <w:pPr>
        <w:pStyle w:val="8"/>
        <w:shd w:val="clear"/>
        <w:rPr>
          <w:rFonts w:hint="default"/>
          <w:sz w:val="28"/>
          <w:szCs w:val="21"/>
          <w:highlight w:val="none"/>
          <w:lang w:val="en-US" w:eastAsia="zh-CN"/>
        </w:rPr>
      </w:pPr>
      <w:r>
        <w:rPr>
          <w:rFonts w:hint="eastAsia"/>
          <w:sz w:val="28"/>
          <w:szCs w:val="21"/>
          <w:highlight w:val="none"/>
          <w:lang w:val="en-US" w:eastAsia="zh-CN"/>
        </w:rPr>
        <w:t>项目的实施需要从工业源的工况参数选择、数据采集与传输技术、视频监控点位选择与技术标准、相关设备的选型以及后期维护保障等多个方面考虑，以满足实现项目建设价值的基础。</w:t>
      </w:r>
    </w:p>
    <w:p w14:paraId="18AFEA0E">
      <w:pPr>
        <w:pStyle w:val="8"/>
        <w:keepNext w:val="0"/>
        <w:keepLines w:val="0"/>
        <w:pageBreakBefore w:val="0"/>
        <w:widowControl w:val="0"/>
        <w:shd w:val="clear"/>
        <w:kinsoku/>
        <w:wordWrap/>
        <w:overflowPunct/>
        <w:topLinePunct w:val="0"/>
        <w:autoSpaceDE/>
        <w:autoSpaceDN/>
        <w:bidi w:val="0"/>
        <w:adjustRightInd/>
        <w:snapToGrid/>
        <w:textAlignment w:val="auto"/>
        <w:outlineLvl w:val="4"/>
        <w:rPr>
          <w:rFonts w:hint="eastAsia"/>
          <w:b/>
          <w:bCs/>
          <w:sz w:val="28"/>
          <w:szCs w:val="21"/>
          <w:highlight w:val="none"/>
          <w:lang w:val="en-US" w:eastAsia="zh-CN"/>
        </w:rPr>
      </w:pPr>
      <w:r>
        <w:rPr>
          <w:rFonts w:hint="eastAsia"/>
          <w:b/>
          <w:bCs/>
          <w:sz w:val="28"/>
          <w:szCs w:val="21"/>
          <w:highlight w:val="none"/>
          <w:lang w:val="en-US" w:eastAsia="zh-CN"/>
        </w:rPr>
        <w:t>5.3.1.1工况参数选择</w:t>
      </w:r>
    </w:p>
    <w:p w14:paraId="32069B46">
      <w:pPr>
        <w:pStyle w:val="8"/>
        <w:shd w:val="clear"/>
        <w:rPr>
          <w:rFonts w:hint="default"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通过实地现场勘查，全面掌握排污企业生产设施与污染防治设施及其相对应关系，并根据涉污行业工艺特征、污染物特征、排污许可证备案，与排污企业共同确定企业污染防治设施去除效率的关键运行工况以及其他非电能驱动的产污设施的关键参数。监测点位的选取主要分为生产设施关键工况参数以及治理设施关键工况参数两个方面。</w:t>
      </w:r>
    </w:p>
    <w:p w14:paraId="2E96E6D7">
      <w:pPr>
        <w:pStyle w:val="8"/>
        <w:keepNext w:val="0"/>
        <w:keepLines w:val="0"/>
        <w:pageBreakBefore w:val="0"/>
        <w:widowControl w:val="0"/>
        <w:shd w:val="clear"/>
        <w:kinsoku/>
        <w:wordWrap/>
        <w:overflowPunct/>
        <w:topLinePunct w:val="0"/>
        <w:autoSpaceDE/>
        <w:autoSpaceDN/>
        <w:bidi w:val="0"/>
        <w:adjustRightInd/>
        <w:snapToGrid/>
        <w:textAlignment w:val="auto"/>
        <w:outlineLvl w:val="5"/>
        <w:rPr>
          <w:rFonts w:hint="eastAsia" w:ascii="Times New Roman" w:hAnsi="Times New Roman" w:cs="Times New Roman"/>
          <w:b/>
          <w:bCs/>
          <w:sz w:val="28"/>
          <w:szCs w:val="21"/>
          <w:highlight w:val="none"/>
          <w:lang w:val="en-US" w:eastAsia="zh-CN"/>
        </w:rPr>
      </w:pPr>
      <w:r>
        <w:rPr>
          <w:rFonts w:hint="eastAsia" w:cs="Times New Roman"/>
          <w:b/>
          <w:bCs/>
          <w:sz w:val="28"/>
          <w:szCs w:val="21"/>
          <w:highlight w:val="none"/>
          <w:lang w:val="en-US" w:eastAsia="zh-CN"/>
        </w:rPr>
        <w:t>5.3</w:t>
      </w:r>
      <w:r>
        <w:rPr>
          <w:rFonts w:hint="eastAsia" w:ascii="Times New Roman" w:hAnsi="Times New Roman" w:cs="Times New Roman"/>
          <w:b/>
          <w:bCs/>
          <w:sz w:val="28"/>
          <w:szCs w:val="21"/>
          <w:highlight w:val="none"/>
          <w:lang w:val="en-US" w:eastAsia="zh-CN"/>
        </w:rPr>
        <w:t>.1.1.1生产设施关键工况参数</w:t>
      </w:r>
    </w:p>
    <w:p w14:paraId="0BD1D286">
      <w:pPr>
        <w:pStyle w:val="8"/>
        <w:keepNext w:val="0"/>
        <w:keepLines w:val="0"/>
        <w:pageBreakBefore w:val="0"/>
        <w:widowControl w:val="0"/>
        <w:shd w:val="clear"/>
        <w:kinsoku/>
        <w:wordWrap/>
        <w:overflowPunct/>
        <w:topLinePunct w:val="0"/>
        <w:autoSpaceDE/>
        <w:autoSpaceDN/>
        <w:bidi w:val="0"/>
        <w:adjustRightInd/>
        <w:snapToGrid/>
        <w:textAlignment w:val="auto"/>
        <w:outlineLvl w:val="6"/>
        <w:rPr>
          <w:rFonts w:hint="default"/>
          <w:sz w:val="28"/>
          <w:szCs w:val="21"/>
          <w:highlight w:val="none"/>
          <w:lang w:val="en-US" w:eastAsia="zh-CN"/>
        </w:rPr>
      </w:pPr>
      <w:r>
        <w:rPr>
          <w:rFonts w:hint="eastAsia" w:ascii="Times New Roman" w:hAnsi="Times New Roman" w:cs="Times New Roman"/>
          <w:sz w:val="28"/>
          <w:szCs w:val="21"/>
          <w:highlight w:val="none"/>
          <w:lang w:val="en-US" w:eastAsia="zh-CN"/>
        </w:rPr>
        <w:t>（1）生产设施关键工况参数的选择原则</w:t>
      </w:r>
    </w:p>
    <w:p w14:paraId="6A8704E1">
      <w:pPr>
        <w:pStyle w:val="8"/>
        <w:shd w:val="clear"/>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为充分发挥采集参数的作用，体现清洁生产的内在价值，系统设计采集的生产全过程参数应遵循以下原则：</w:t>
      </w:r>
    </w:p>
    <w:p w14:paraId="3FE875F4">
      <w:pPr>
        <w:pStyle w:val="8"/>
        <w:shd w:val="clear"/>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1)可直接判定排污企业污染活动状态的数据；</w:t>
      </w:r>
    </w:p>
    <w:p w14:paraId="7F976B3C">
      <w:pPr>
        <w:pStyle w:val="8"/>
        <w:shd w:val="clear"/>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2)严格按照排污许可制度中影响环境的关键设备评价数据；</w:t>
      </w:r>
    </w:p>
    <w:p w14:paraId="046A07D2">
      <w:pPr>
        <w:pStyle w:val="8"/>
        <w:shd w:val="clear"/>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3)能够具备建立与环境保护政策或工作要求直接或间接关系的数据；</w:t>
      </w:r>
    </w:p>
    <w:p w14:paraId="14941FA8">
      <w:pPr>
        <w:pStyle w:val="8"/>
        <w:shd w:val="clear"/>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4)具有数据相互验证功能保障数据真实有效的数据；</w:t>
      </w:r>
    </w:p>
    <w:p w14:paraId="6293E464">
      <w:pPr>
        <w:pStyle w:val="8"/>
        <w:shd w:val="clear"/>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5)能够通过建立数据模型实现管控环境指标的数据；</w:t>
      </w:r>
    </w:p>
    <w:p w14:paraId="0508FD01">
      <w:pPr>
        <w:pStyle w:val="8"/>
        <w:shd w:val="clear"/>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6)生产参数采集范围是严格按照国家排污许可体系及国标212技术标准进行采集，主要包含①原料及配料参数；②燃料制备与使用参数；③主设备运行状态及电流；④生产过程主要参数：压力、温度、流量等。</w:t>
      </w:r>
    </w:p>
    <w:p w14:paraId="7AF5E3FB">
      <w:pPr>
        <w:pStyle w:val="8"/>
        <w:keepNext w:val="0"/>
        <w:keepLines w:val="0"/>
        <w:pageBreakBefore w:val="0"/>
        <w:widowControl w:val="0"/>
        <w:shd w:val="clear"/>
        <w:kinsoku/>
        <w:wordWrap/>
        <w:overflowPunct/>
        <w:topLinePunct w:val="0"/>
        <w:autoSpaceDE/>
        <w:autoSpaceDN/>
        <w:bidi w:val="0"/>
        <w:adjustRightInd/>
        <w:snapToGrid/>
        <w:textAlignment w:val="auto"/>
        <w:outlineLvl w:val="6"/>
        <w:rPr>
          <w:rFonts w:hint="default"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（2）项目所涉</w:t>
      </w:r>
      <w:r>
        <w:rPr>
          <w:rFonts w:hint="eastAsia"/>
          <w:sz w:val="28"/>
          <w:szCs w:val="21"/>
          <w:highlight w:val="none"/>
          <w:lang w:val="en-US" w:eastAsia="zh-CN"/>
        </w:rPr>
        <w:t>工业源</w:t>
      </w:r>
      <w:r>
        <w:rPr>
          <w:rFonts w:hint="eastAsia" w:ascii="Times New Roman" w:hAnsi="Times New Roman" w:cs="Times New Roman"/>
          <w:sz w:val="28"/>
          <w:szCs w:val="21"/>
          <w:highlight w:val="none"/>
          <w:lang w:val="en-US" w:eastAsia="zh-CN"/>
        </w:rPr>
        <w:t>行业关键产污环节的分析</w:t>
      </w:r>
    </w:p>
    <w:p w14:paraId="3E4A8E6B">
      <w:pPr>
        <w:pStyle w:val="8"/>
        <w:shd w:val="clear"/>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对于涉</w:t>
      </w:r>
      <w:r>
        <w:rPr>
          <w:rFonts w:hint="eastAsia" w:cs="Times New Roman"/>
          <w:sz w:val="28"/>
          <w:szCs w:val="21"/>
          <w:highlight w:val="none"/>
          <w:lang w:val="en-US" w:eastAsia="zh-CN"/>
        </w:rPr>
        <w:t>VOCs</w:t>
      </w:r>
      <w:r>
        <w:rPr>
          <w:rFonts w:hint="eastAsia" w:ascii="Times New Roman" w:hAnsi="Times New Roman" w:cs="Times New Roman"/>
          <w:sz w:val="28"/>
          <w:szCs w:val="21"/>
          <w:highlight w:val="none"/>
          <w:lang w:val="en-US" w:eastAsia="zh-CN"/>
        </w:rPr>
        <w:t>排放工业源，只有了解各工业源行业的生产特点、工艺流程及产污环节才能更好的选择关键工况参数，促使工业源的生产活动判断更加精准。通过针对本项目工业源的实地调研，列出本项目一些主要工业源的生产流程和产污节点。</w:t>
      </w:r>
    </w:p>
    <w:p w14:paraId="789DE630">
      <w:pPr>
        <w:pStyle w:val="8"/>
        <w:shd w:val="clear"/>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塑料制品行业：塑料制品生产工艺主要为：上料、拌料、破碎热熔、挤出、成型、冷却等。工艺流程中设计排污的环节有拌料和破碎、热熔。其中拌料期间若非密闭可能产生粉尘污染物，粉碎、热熔环节产生</w:t>
      </w:r>
      <w:r>
        <w:rPr>
          <w:rFonts w:hint="eastAsia" w:cs="Times New Roman"/>
          <w:sz w:val="28"/>
          <w:szCs w:val="21"/>
          <w:highlight w:val="none"/>
          <w:lang w:val="en-US" w:eastAsia="zh-CN"/>
        </w:rPr>
        <w:t>VOCs</w:t>
      </w:r>
      <w:r>
        <w:rPr>
          <w:rFonts w:hint="eastAsia" w:ascii="Times New Roman" w:hAnsi="Times New Roman" w:cs="Times New Roman"/>
          <w:sz w:val="28"/>
          <w:szCs w:val="21"/>
          <w:highlight w:val="none"/>
          <w:lang w:val="en-US" w:eastAsia="zh-CN"/>
        </w:rPr>
        <w:t>污染物。</w:t>
      </w:r>
    </w:p>
    <w:tbl>
      <w:tblPr>
        <w:tblStyle w:val="18"/>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487"/>
        <w:gridCol w:w="2570"/>
        <w:gridCol w:w="2571"/>
      </w:tblGrid>
      <w:tr w14:paraId="26869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2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9307A">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参数名称</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D76E1">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监管位置</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C0B6F">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监管设备</w:t>
            </w:r>
          </w:p>
        </w:tc>
      </w:tr>
      <w:tr w14:paraId="4B0BC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2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B3829">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上料皮带状态</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05200">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感知器</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BDB15">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工业数据边缘计算箱</w:t>
            </w:r>
          </w:p>
        </w:tc>
      </w:tr>
      <w:tr w14:paraId="0B0CD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2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E6527">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热熔机温度</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FBE99">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感知器</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4C115">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工业数据边缘计算箱</w:t>
            </w:r>
          </w:p>
        </w:tc>
      </w:tr>
      <w:tr w14:paraId="17450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2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598C4">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挤出机状态</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3B23A">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感知器</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71DC0">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工业数据边缘计算箱</w:t>
            </w:r>
          </w:p>
        </w:tc>
      </w:tr>
      <w:tr w14:paraId="2C63B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2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6BF4D">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挤出机频率</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104AF">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感知器</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00D19">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工业数据边缘计算箱</w:t>
            </w:r>
          </w:p>
        </w:tc>
      </w:tr>
      <w:tr w14:paraId="5A0FDA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2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C43EA">
            <w:pPr>
              <w:keepNext w:val="0"/>
              <w:keepLines w:val="0"/>
              <w:widowControl/>
              <w:suppressLineNumbers w:val="0"/>
              <w:shd w:val="clear"/>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车间密闭门窗限位</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60B84">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感知器</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EB2BF">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工业数据边缘计算箱</w:t>
            </w:r>
          </w:p>
        </w:tc>
      </w:tr>
    </w:tbl>
    <w:p w14:paraId="4396A6B9">
      <w:pPr>
        <w:pStyle w:val="8"/>
        <w:shd w:val="clear"/>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印刷制品：印刷制品生产工艺主要为：印刷、覆膜、裁切等。常见的印刷工艺为UV印刷，UV印刷是一种通过紫外光干燥、固化油墨的一种印刷工艺，需要将含有光敏剂的油墨与UV固化灯相配合。其主要产生污染物为</w:t>
      </w:r>
      <w:r>
        <w:rPr>
          <w:rFonts w:hint="eastAsia" w:cs="Times New Roman"/>
          <w:sz w:val="28"/>
          <w:szCs w:val="21"/>
          <w:highlight w:val="none"/>
          <w:lang w:val="en-US" w:eastAsia="zh-CN"/>
        </w:rPr>
        <w:t>VOCs</w:t>
      </w:r>
      <w:r>
        <w:rPr>
          <w:rFonts w:hint="eastAsia" w:ascii="Times New Roman" w:hAnsi="Times New Roman" w:cs="Times New Roman"/>
          <w:sz w:val="28"/>
          <w:szCs w:val="21"/>
          <w:highlight w:val="none"/>
          <w:lang w:val="en-US" w:eastAsia="zh-CN"/>
        </w:rPr>
        <w:t>，产污环节主要为印刷工艺环节，其次热熔覆膜环节也有部分</w:t>
      </w:r>
      <w:r>
        <w:rPr>
          <w:rFonts w:hint="eastAsia" w:cs="Times New Roman"/>
          <w:sz w:val="28"/>
          <w:szCs w:val="21"/>
          <w:highlight w:val="none"/>
          <w:lang w:val="en-US" w:eastAsia="zh-CN"/>
        </w:rPr>
        <w:t>VOCs</w:t>
      </w:r>
      <w:r>
        <w:rPr>
          <w:rFonts w:hint="eastAsia" w:ascii="Times New Roman" w:hAnsi="Times New Roman" w:cs="Times New Roman"/>
          <w:sz w:val="28"/>
          <w:szCs w:val="21"/>
          <w:highlight w:val="none"/>
          <w:lang w:val="en-US" w:eastAsia="zh-CN"/>
        </w:rPr>
        <w:t>污染物产生。</w:t>
      </w:r>
    </w:p>
    <w:tbl>
      <w:tblPr>
        <w:tblStyle w:val="18"/>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487"/>
        <w:gridCol w:w="2570"/>
        <w:gridCol w:w="2571"/>
      </w:tblGrid>
      <w:tr w14:paraId="3EB2F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2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407D5">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参数名称</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59D27">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监管位置</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FE63C">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监管设备</w:t>
            </w:r>
          </w:p>
        </w:tc>
      </w:tr>
      <w:tr w14:paraId="000FA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2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8F0DD">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印刷机状态</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0EF78">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感知器</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20C56">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工业数据边缘计算箱</w:t>
            </w:r>
          </w:p>
        </w:tc>
      </w:tr>
      <w:tr w14:paraId="7236D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2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F7B1A">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油墨流量</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0E05B">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感知器</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33DA9">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工业数据边缘计算箱</w:t>
            </w:r>
          </w:p>
        </w:tc>
      </w:tr>
      <w:tr w14:paraId="4305F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2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B67C6">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裁切机频率</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89B5A">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感知器</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EFACE">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工业数据边缘计算箱</w:t>
            </w:r>
          </w:p>
        </w:tc>
      </w:tr>
      <w:tr w14:paraId="46EB1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2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DA86D">
            <w:pPr>
              <w:keepNext w:val="0"/>
              <w:keepLines w:val="0"/>
              <w:widowControl/>
              <w:suppressLineNumbers w:val="0"/>
              <w:shd w:val="clear"/>
              <w:jc w:val="center"/>
              <w:textAlignment w:val="center"/>
              <w:rPr>
                <w:rFonts w:hint="eastAsia" w:ascii="宋体" w:hAnsi="宋体" w:eastAsia="宋体" w:cs="宋体"/>
                <w:i w:val="0"/>
                <w:iCs w:val="0"/>
                <w:color w:val="000000"/>
                <w:kern w:val="2"/>
                <w:sz w:val="22"/>
                <w:szCs w:val="22"/>
                <w:highlight w:val="none"/>
                <w:u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车间密闭门窗限位</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9AF4F">
            <w:pPr>
              <w:keepNext w:val="0"/>
              <w:keepLines w:val="0"/>
              <w:widowControl/>
              <w:suppressLineNumbers w:val="0"/>
              <w:shd w:val="clear"/>
              <w:jc w:val="center"/>
              <w:textAlignment w:val="center"/>
              <w:rPr>
                <w:rFonts w:hint="eastAsia" w:ascii="宋体" w:hAnsi="宋体" w:eastAsia="宋体" w:cs="宋体"/>
                <w:i w:val="0"/>
                <w:iCs w:val="0"/>
                <w:color w:val="000000"/>
                <w:kern w:val="2"/>
                <w:sz w:val="22"/>
                <w:szCs w:val="22"/>
                <w:highlight w:val="none"/>
                <w:u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感知器</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4981F">
            <w:pPr>
              <w:keepNext w:val="0"/>
              <w:keepLines w:val="0"/>
              <w:widowControl/>
              <w:suppressLineNumbers w:val="0"/>
              <w:shd w:val="clear"/>
              <w:jc w:val="center"/>
              <w:textAlignment w:val="center"/>
              <w:rPr>
                <w:rFonts w:hint="eastAsia" w:ascii="宋体" w:hAnsi="宋体" w:eastAsia="宋体" w:cs="宋体"/>
                <w:i w:val="0"/>
                <w:iCs w:val="0"/>
                <w:color w:val="000000"/>
                <w:kern w:val="2"/>
                <w:sz w:val="22"/>
                <w:szCs w:val="22"/>
                <w:highlight w:val="none"/>
                <w:u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工业数据边缘计算箱</w:t>
            </w:r>
          </w:p>
        </w:tc>
      </w:tr>
    </w:tbl>
    <w:p w14:paraId="3EF1B8E1">
      <w:pPr>
        <w:pStyle w:val="8"/>
        <w:shd w:val="clear"/>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工业涂装：预处理过程包括去油、除锈、打磨和除尘等。在这个过程中，可能产生的排污节点主要包括清洗废水和打磨粉尘。底漆涂装是涂装过程中的第二步，其目的是提供一层基础涂层，增强基材的防腐性和与后续涂层的结合力。底漆涂装过程中可能产生的排污节点主要是底漆废液和涂装过程中产生的废气。中涂处理是在底漆涂层干燥后进行的，其目的是增加涂层的厚度和美观性。中涂处理过程中可能产生的排污节点主要是中涂废液和涂装废气。面漆涂装是涂装过程的最后一步，其目的是提供一层耐候、美观且保护性能良好的最终涂层。在这个过程中，可能产生的排污节点包括面漆废液和涂装废气。</w:t>
      </w:r>
    </w:p>
    <w:tbl>
      <w:tblPr>
        <w:tblStyle w:val="18"/>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563"/>
        <w:gridCol w:w="2532"/>
        <w:gridCol w:w="2533"/>
      </w:tblGrid>
      <w:tr w14:paraId="0AC29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20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B6259">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参数名称</w:t>
            </w:r>
          </w:p>
        </w:tc>
        <w:tc>
          <w:tcPr>
            <w:tcW w:w="1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9A010">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监管位置</w:t>
            </w:r>
          </w:p>
        </w:tc>
        <w:tc>
          <w:tcPr>
            <w:tcW w:w="1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9CB94">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监管设备</w:t>
            </w:r>
          </w:p>
        </w:tc>
      </w:tr>
      <w:tr w14:paraId="4CFF8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20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DB672">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悬链频率</w:t>
            </w:r>
          </w:p>
        </w:tc>
        <w:tc>
          <w:tcPr>
            <w:tcW w:w="1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9F625">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感知器</w:t>
            </w:r>
          </w:p>
        </w:tc>
        <w:tc>
          <w:tcPr>
            <w:tcW w:w="1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14CD5">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工业数据边缘计算箱</w:t>
            </w:r>
          </w:p>
        </w:tc>
      </w:tr>
      <w:tr w14:paraId="66DEF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20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B61A2">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底漆燃烧风机状态</w:t>
            </w:r>
          </w:p>
        </w:tc>
        <w:tc>
          <w:tcPr>
            <w:tcW w:w="1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CBB5B">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感知器</w:t>
            </w:r>
          </w:p>
        </w:tc>
        <w:tc>
          <w:tcPr>
            <w:tcW w:w="1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3AE00">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工业数据边缘计算箱</w:t>
            </w:r>
          </w:p>
        </w:tc>
      </w:tr>
      <w:tr w14:paraId="1DEE6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20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55FC7">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底漆燃烧器状态</w:t>
            </w:r>
          </w:p>
        </w:tc>
        <w:tc>
          <w:tcPr>
            <w:tcW w:w="1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D09D9">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感知器</w:t>
            </w:r>
          </w:p>
        </w:tc>
        <w:tc>
          <w:tcPr>
            <w:tcW w:w="1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3134D">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工业数据边缘计算箱</w:t>
            </w:r>
          </w:p>
        </w:tc>
      </w:tr>
      <w:tr w14:paraId="3C1E9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20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B5F29">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中涂漆燃烧风机状态</w:t>
            </w:r>
          </w:p>
        </w:tc>
        <w:tc>
          <w:tcPr>
            <w:tcW w:w="1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86AE2">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感知器</w:t>
            </w:r>
          </w:p>
        </w:tc>
        <w:tc>
          <w:tcPr>
            <w:tcW w:w="1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FF009">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工业数据边缘计算箱</w:t>
            </w:r>
          </w:p>
        </w:tc>
      </w:tr>
      <w:tr w14:paraId="6A861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20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E8F4D">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中涂漆燃烧器状态</w:t>
            </w:r>
          </w:p>
        </w:tc>
        <w:tc>
          <w:tcPr>
            <w:tcW w:w="1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3F123">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感知器</w:t>
            </w:r>
          </w:p>
        </w:tc>
        <w:tc>
          <w:tcPr>
            <w:tcW w:w="1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45D08">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工业数据边缘计算箱</w:t>
            </w:r>
          </w:p>
        </w:tc>
      </w:tr>
      <w:tr w14:paraId="2598B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20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A54C1">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过中涂地链速度</w:t>
            </w:r>
          </w:p>
        </w:tc>
        <w:tc>
          <w:tcPr>
            <w:tcW w:w="1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9F0DB">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感知器</w:t>
            </w:r>
          </w:p>
        </w:tc>
        <w:tc>
          <w:tcPr>
            <w:tcW w:w="1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3F238">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工业数据边缘计算箱</w:t>
            </w:r>
          </w:p>
        </w:tc>
      </w:tr>
      <w:tr w14:paraId="1A6D0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20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CDF8A">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中涂喷漆风机状态</w:t>
            </w:r>
          </w:p>
        </w:tc>
        <w:tc>
          <w:tcPr>
            <w:tcW w:w="1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0F730">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感知器</w:t>
            </w:r>
          </w:p>
        </w:tc>
        <w:tc>
          <w:tcPr>
            <w:tcW w:w="1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8AB26">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工业数据边缘计算箱</w:t>
            </w:r>
          </w:p>
        </w:tc>
      </w:tr>
      <w:tr w14:paraId="763E0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20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5832A">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零部件燃烧风机状态</w:t>
            </w:r>
          </w:p>
        </w:tc>
        <w:tc>
          <w:tcPr>
            <w:tcW w:w="1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19B12">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感知器</w:t>
            </w:r>
          </w:p>
        </w:tc>
        <w:tc>
          <w:tcPr>
            <w:tcW w:w="1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BFE7A">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工业数据边缘计算箱</w:t>
            </w:r>
          </w:p>
        </w:tc>
      </w:tr>
      <w:tr w14:paraId="0BFBD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20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DE0DA">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零部件燃烧器状态</w:t>
            </w:r>
          </w:p>
        </w:tc>
        <w:tc>
          <w:tcPr>
            <w:tcW w:w="1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D0013">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感知器</w:t>
            </w:r>
          </w:p>
        </w:tc>
        <w:tc>
          <w:tcPr>
            <w:tcW w:w="1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E1343">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工业数据边缘计算箱</w:t>
            </w:r>
          </w:p>
        </w:tc>
      </w:tr>
      <w:tr w14:paraId="4B44D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20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32924">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零部件喷漆风机频率</w:t>
            </w:r>
          </w:p>
        </w:tc>
        <w:tc>
          <w:tcPr>
            <w:tcW w:w="1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A763D">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感知器</w:t>
            </w:r>
          </w:p>
        </w:tc>
        <w:tc>
          <w:tcPr>
            <w:tcW w:w="1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DD4CA">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工业数据边缘计算箱</w:t>
            </w:r>
          </w:p>
        </w:tc>
      </w:tr>
      <w:tr w14:paraId="5665A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20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C2F24">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过面漆尾链速度</w:t>
            </w:r>
          </w:p>
        </w:tc>
        <w:tc>
          <w:tcPr>
            <w:tcW w:w="1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8782D">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感知器</w:t>
            </w:r>
          </w:p>
        </w:tc>
        <w:tc>
          <w:tcPr>
            <w:tcW w:w="1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0225F">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工业数据边缘计算箱</w:t>
            </w:r>
          </w:p>
        </w:tc>
      </w:tr>
      <w:tr w14:paraId="2F320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20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1D981">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面漆喷漆风机状态</w:t>
            </w:r>
          </w:p>
        </w:tc>
        <w:tc>
          <w:tcPr>
            <w:tcW w:w="1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E5892">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感知器</w:t>
            </w:r>
          </w:p>
        </w:tc>
        <w:tc>
          <w:tcPr>
            <w:tcW w:w="1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A3C48">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工业数据边缘计算箱</w:t>
            </w:r>
          </w:p>
        </w:tc>
      </w:tr>
    </w:tbl>
    <w:p w14:paraId="29087C9A">
      <w:pPr>
        <w:pStyle w:val="8"/>
        <w:shd w:val="clear"/>
        <w:rPr>
          <w:rFonts w:hint="eastAsia" w:ascii="Times New Roman" w:hAnsi="Times New Roman" w:cs="Times New Roman"/>
          <w:sz w:val="28"/>
          <w:szCs w:val="21"/>
          <w:highlight w:val="none"/>
          <w:lang w:val="en-US" w:eastAsia="zh-CN"/>
        </w:rPr>
      </w:pPr>
      <w:bookmarkStart w:id="29" w:name="_Toc6738778"/>
      <w:bookmarkStart w:id="30" w:name="_Toc6601243"/>
      <w:r>
        <w:rPr>
          <w:rFonts w:hint="eastAsia" w:ascii="Times New Roman" w:hAnsi="Times New Roman" w:cs="Times New Roman"/>
          <w:sz w:val="28"/>
          <w:szCs w:val="21"/>
          <w:highlight w:val="none"/>
          <w:lang w:val="en-US" w:eastAsia="zh-CN"/>
        </w:rPr>
        <w:t>橡胶制品行业</w:t>
      </w:r>
      <w:bookmarkEnd w:id="29"/>
      <w:bookmarkEnd w:id="30"/>
      <w:r>
        <w:rPr>
          <w:rFonts w:hint="eastAsia" w:ascii="Times New Roman" w:hAnsi="Times New Roman" w:cs="Times New Roman"/>
          <w:sz w:val="28"/>
          <w:szCs w:val="21"/>
          <w:highlight w:val="none"/>
          <w:lang w:val="en-US" w:eastAsia="zh-CN"/>
        </w:rPr>
        <w:t>：①配料与混炼，按照配方将橡胶原料和添加剂混合在一起；通过混炼机进行充分混炼，确保原料和添加剂均匀分布。②成型加工，将混炼好的橡胶料放入模具中，进行成型加工；常见的成型方法包括压延、注射、挤出等。③硫化处理，在一定温度和压力下，使橡胶制品发生硫化反应，从而增强其物理性能；硫化过程通常在硫化机中进行。④后处理与检验，对硫化后的制品进行后处理，如修边、打磨等。主要排污节点来源于混炼、密炼、硫化等过程产生的烟尘及</w:t>
      </w:r>
      <w:r>
        <w:rPr>
          <w:rFonts w:hint="eastAsia" w:cs="Times New Roman"/>
          <w:sz w:val="28"/>
          <w:szCs w:val="21"/>
          <w:highlight w:val="none"/>
          <w:lang w:val="en-US" w:eastAsia="zh-CN"/>
        </w:rPr>
        <w:t>VOCs</w:t>
      </w:r>
      <w:r>
        <w:rPr>
          <w:rFonts w:hint="eastAsia" w:ascii="Times New Roman" w:hAnsi="Times New Roman" w:cs="Times New Roman"/>
          <w:sz w:val="28"/>
          <w:szCs w:val="21"/>
          <w:highlight w:val="none"/>
          <w:lang w:val="en-US" w:eastAsia="zh-CN"/>
        </w:rPr>
        <w:t>等污染物。</w:t>
      </w:r>
    </w:p>
    <w:tbl>
      <w:tblPr>
        <w:tblStyle w:val="18"/>
        <w:tblW w:w="3851"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579"/>
        <w:gridCol w:w="1872"/>
        <w:gridCol w:w="2196"/>
      </w:tblGrid>
      <w:tr w14:paraId="7F2B4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jc w:val="center"/>
        </w:trPr>
        <w:tc>
          <w:tcPr>
            <w:tcW w:w="2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1424B">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参数名称</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1C05D">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监管位置</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7F44F">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监管设备</w:t>
            </w:r>
          </w:p>
        </w:tc>
      </w:tr>
      <w:tr w14:paraId="28278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jc w:val="center"/>
        </w:trPr>
        <w:tc>
          <w:tcPr>
            <w:tcW w:w="2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C5477">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密炼机状态</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C3BC0">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感知器</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859B2">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工业数据边缘计算箱</w:t>
            </w:r>
          </w:p>
        </w:tc>
      </w:tr>
      <w:tr w14:paraId="67D35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jc w:val="center"/>
        </w:trPr>
        <w:tc>
          <w:tcPr>
            <w:tcW w:w="2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C4694">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挤出机状态</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7F4E6">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感知器</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96DBD">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工业数据边缘计算箱</w:t>
            </w:r>
          </w:p>
        </w:tc>
      </w:tr>
      <w:tr w14:paraId="2545C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jc w:val="center"/>
        </w:trPr>
        <w:tc>
          <w:tcPr>
            <w:tcW w:w="2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8F0CA">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硫化机温度</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F9BC6">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感知器</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A8BEB">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工业数据边缘计算箱</w:t>
            </w:r>
          </w:p>
        </w:tc>
      </w:tr>
      <w:tr w14:paraId="32FBA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jc w:val="center"/>
        </w:trPr>
        <w:tc>
          <w:tcPr>
            <w:tcW w:w="2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1EBD1">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硫化机限位</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4D04A">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感知器</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4C348">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工业数据边缘计算箱</w:t>
            </w:r>
          </w:p>
        </w:tc>
      </w:tr>
      <w:tr w14:paraId="0A537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jc w:val="center"/>
        </w:trPr>
        <w:tc>
          <w:tcPr>
            <w:tcW w:w="2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39788">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蒸汽流量</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DDD55">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感知器</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73572">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工业数据边缘计算箱</w:t>
            </w:r>
          </w:p>
        </w:tc>
      </w:tr>
      <w:tr w14:paraId="71ECE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jc w:val="center"/>
        </w:trPr>
        <w:tc>
          <w:tcPr>
            <w:tcW w:w="2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6EC29">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蒸汽温度</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78DB0">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感知器</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66782">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工业数据边缘计算箱</w:t>
            </w:r>
          </w:p>
        </w:tc>
      </w:tr>
    </w:tbl>
    <w:p w14:paraId="68D0091D">
      <w:pPr>
        <w:pStyle w:val="8"/>
        <w:keepNext w:val="0"/>
        <w:keepLines w:val="0"/>
        <w:pageBreakBefore w:val="0"/>
        <w:widowControl w:val="0"/>
        <w:shd w:val="clear"/>
        <w:kinsoku/>
        <w:wordWrap/>
        <w:overflowPunct/>
        <w:topLinePunct w:val="0"/>
        <w:autoSpaceDE/>
        <w:autoSpaceDN/>
        <w:bidi w:val="0"/>
        <w:adjustRightInd/>
        <w:snapToGrid/>
        <w:textAlignment w:val="auto"/>
        <w:outlineLvl w:val="5"/>
        <w:rPr>
          <w:rFonts w:hint="default" w:ascii="Times New Roman" w:hAnsi="Times New Roman" w:cs="Times New Roman"/>
          <w:b/>
          <w:bCs/>
          <w:sz w:val="28"/>
          <w:szCs w:val="21"/>
          <w:highlight w:val="none"/>
          <w:lang w:val="en-US" w:eastAsia="zh-CN"/>
        </w:rPr>
      </w:pPr>
      <w:r>
        <w:rPr>
          <w:rFonts w:hint="eastAsia" w:cs="Times New Roman"/>
          <w:b/>
          <w:bCs/>
          <w:sz w:val="28"/>
          <w:szCs w:val="21"/>
          <w:highlight w:val="none"/>
          <w:lang w:val="en-US" w:eastAsia="zh-CN"/>
        </w:rPr>
        <w:t>5.3</w:t>
      </w:r>
      <w:r>
        <w:rPr>
          <w:rFonts w:hint="eastAsia" w:ascii="Times New Roman" w:hAnsi="Times New Roman" w:cs="Times New Roman"/>
          <w:b/>
          <w:bCs/>
          <w:sz w:val="28"/>
          <w:szCs w:val="21"/>
          <w:highlight w:val="none"/>
          <w:lang w:val="en-US" w:eastAsia="zh-CN"/>
        </w:rPr>
        <w:t>.1.1.2治理设施关键工况参数</w:t>
      </w:r>
    </w:p>
    <w:p w14:paraId="4769C2F8">
      <w:pPr>
        <w:pStyle w:val="8"/>
        <w:keepNext w:val="0"/>
        <w:keepLines w:val="0"/>
        <w:pageBreakBefore w:val="0"/>
        <w:widowControl w:val="0"/>
        <w:shd w:val="clear"/>
        <w:kinsoku/>
        <w:wordWrap/>
        <w:overflowPunct/>
        <w:topLinePunct w:val="0"/>
        <w:autoSpaceDE/>
        <w:autoSpaceDN/>
        <w:bidi w:val="0"/>
        <w:adjustRightInd/>
        <w:snapToGrid/>
        <w:textAlignment w:val="auto"/>
        <w:outlineLvl w:val="6"/>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（1）治理设施关键工况参数的选择原则</w:t>
      </w:r>
    </w:p>
    <w:p w14:paraId="78F89B6E">
      <w:pPr>
        <w:pStyle w:val="8"/>
        <w:shd w:val="clear"/>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选择合适的废气治理设施关键工况参数需要综合考虑多个因素，只通过风机</w:t>
      </w:r>
      <w:r>
        <w:rPr>
          <w:rFonts w:hint="eastAsia" w:cs="Times New Roman"/>
          <w:sz w:val="28"/>
          <w:szCs w:val="21"/>
          <w:highlight w:val="none"/>
          <w:lang w:val="en-US" w:eastAsia="zh-CN"/>
        </w:rPr>
        <w:t>状态</w:t>
      </w:r>
      <w:r>
        <w:rPr>
          <w:rFonts w:hint="eastAsia" w:ascii="Times New Roman" w:hAnsi="Times New Roman" w:cs="Times New Roman"/>
          <w:sz w:val="28"/>
          <w:szCs w:val="21"/>
          <w:highlight w:val="none"/>
          <w:lang w:val="en-US" w:eastAsia="zh-CN"/>
        </w:rPr>
        <w:t>或设备</w:t>
      </w:r>
      <w:r>
        <w:rPr>
          <w:rFonts w:hint="eastAsia" w:cs="Times New Roman"/>
          <w:sz w:val="28"/>
          <w:szCs w:val="21"/>
          <w:highlight w:val="none"/>
          <w:lang w:val="en-US" w:eastAsia="zh-CN"/>
        </w:rPr>
        <w:t>状态</w:t>
      </w:r>
      <w:r>
        <w:rPr>
          <w:rFonts w:hint="eastAsia" w:ascii="Times New Roman" w:hAnsi="Times New Roman" w:cs="Times New Roman"/>
          <w:sz w:val="28"/>
          <w:szCs w:val="21"/>
          <w:highlight w:val="none"/>
          <w:lang w:val="en-US" w:eastAsia="zh-CN"/>
        </w:rPr>
        <w:t>监测，可能存在工业源直排而误判为治理设施运行的风险。只有通过废气流量、温度与湿度、压力、振动等工况参数的采集才能反映出其真实的治理状态。因此治理设施设备的关键工况参数选择应包含以下几个方面：</w:t>
      </w:r>
    </w:p>
    <w:p w14:paraId="438F17D5">
      <w:pPr>
        <w:pStyle w:val="8"/>
        <w:shd w:val="clear"/>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①添加剂或药品投入参数；</w:t>
      </w:r>
    </w:p>
    <w:p w14:paraId="7533C2F3">
      <w:pPr>
        <w:pStyle w:val="8"/>
        <w:shd w:val="clear"/>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②主设备(泵或风机等)运行状态参数；</w:t>
      </w:r>
    </w:p>
    <w:p w14:paraId="1EC49C18">
      <w:pPr>
        <w:pStyle w:val="8"/>
        <w:shd w:val="clear"/>
        <w:rPr>
          <w:rFonts w:hint="default"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③治理过程运行参数(压力、温度、流量、振动等)。</w:t>
      </w:r>
    </w:p>
    <w:p w14:paraId="39A86F3B">
      <w:pPr>
        <w:pStyle w:val="8"/>
        <w:keepNext w:val="0"/>
        <w:keepLines w:val="0"/>
        <w:pageBreakBefore w:val="0"/>
        <w:widowControl w:val="0"/>
        <w:shd w:val="clear"/>
        <w:kinsoku/>
        <w:wordWrap/>
        <w:overflowPunct/>
        <w:topLinePunct w:val="0"/>
        <w:autoSpaceDE/>
        <w:autoSpaceDN/>
        <w:bidi w:val="0"/>
        <w:adjustRightInd/>
        <w:snapToGrid/>
        <w:textAlignment w:val="auto"/>
        <w:outlineLvl w:val="6"/>
        <w:rPr>
          <w:rFonts w:hint="default"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（2）项目所涉工业源行业治理设施关键工况参数的分析</w:t>
      </w:r>
    </w:p>
    <w:p w14:paraId="57652D62">
      <w:pPr>
        <w:pStyle w:val="8"/>
        <w:keepNext w:val="0"/>
        <w:keepLines w:val="0"/>
        <w:pageBreakBefore w:val="0"/>
        <w:widowControl w:val="0"/>
        <w:shd w:val="clear"/>
        <w:kinsoku/>
        <w:wordWrap/>
        <w:overflowPunct/>
        <w:topLinePunct w:val="0"/>
        <w:autoSpaceDE/>
        <w:autoSpaceDN/>
        <w:bidi w:val="0"/>
        <w:adjustRightInd/>
        <w:snapToGrid/>
        <w:textAlignment w:val="auto"/>
        <w:outlineLvl w:val="8"/>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A一体化</w:t>
      </w:r>
      <w:r>
        <w:rPr>
          <w:rFonts w:hint="eastAsia" w:cs="Times New Roman"/>
          <w:sz w:val="28"/>
          <w:szCs w:val="21"/>
          <w:highlight w:val="none"/>
          <w:lang w:val="en-US" w:eastAsia="zh-CN"/>
        </w:rPr>
        <w:t>VOCs</w:t>
      </w:r>
      <w:r>
        <w:rPr>
          <w:rFonts w:hint="eastAsia" w:ascii="Times New Roman" w:hAnsi="Times New Roman" w:cs="Times New Roman"/>
          <w:sz w:val="28"/>
          <w:szCs w:val="21"/>
          <w:highlight w:val="none"/>
          <w:lang w:val="en-US" w:eastAsia="zh-CN"/>
        </w:rPr>
        <w:t>废气净化工艺及监管参数</w:t>
      </w:r>
    </w:p>
    <w:p w14:paraId="305874E0">
      <w:pPr>
        <w:pStyle w:val="8"/>
        <w:shd w:val="clear"/>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a工艺</w:t>
      </w:r>
    </w:p>
    <w:p w14:paraId="4FAAE378">
      <w:pPr>
        <w:pStyle w:val="8"/>
        <w:shd w:val="clear"/>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该装置包括吸收及除尘设备、光解设备和催化氧化设备；所述吸收设备包括除尘壳体、填料、喷淋系统、除雾器和除雾网；所述光解设备包括设备壳体、均流板和光解灯管和电源；所述催化氧化设备包括设备壳体、催化剂和导流板；</w:t>
      </w:r>
    </w:p>
    <w:p w14:paraId="01D8C7D0">
      <w:pPr>
        <w:pStyle w:val="8"/>
        <w:shd w:val="clear"/>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其中，所述吸收设备、光解设备和催化氧化设备从左到右依次连接。吸收设备内部至少设置两层所述填料，每层所述填料（吸收和过滤层）后端均设有喷淋系统，所述除雾器和除雾网设置在所述除尘壳体的出口一侧；所述光解设备的入口处设有所述均流板，接下来是若干所述光解灯管，所述光解壳体的内部还设有给所述光解灯管供电的电源；若干所述催化剂层以“弓”型设置在所述催化氧化设备内部。</w:t>
      </w:r>
    </w:p>
    <w:p w14:paraId="42090ECC">
      <w:pPr>
        <w:pStyle w:val="23"/>
        <w:keepNext w:val="0"/>
        <w:keepLines w:val="0"/>
        <w:pageBreakBefore w:val="0"/>
        <w:widowControl w:val="0"/>
        <w:shd w:val="clear"/>
        <w:kinsoku/>
        <w:wordWrap/>
        <w:overflowPunct/>
        <w:topLinePunct w:val="0"/>
        <w:autoSpaceDE w:val="0"/>
        <w:autoSpaceDN w:val="0"/>
        <w:bidi w:val="0"/>
        <w:adjustRightInd w:val="0"/>
        <w:snapToGrid/>
        <w:spacing w:line="360" w:lineRule="auto"/>
        <w:textAlignment w:val="auto"/>
        <w:rPr>
          <w:rFonts w:hint="eastAsia" w:ascii="宋体" w:hAnsi="宋体" w:eastAsia="宋体" w:cs="宋体"/>
          <w:bCs/>
          <w:color w:val="auto"/>
          <w:sz w:val="28"/>
          <w:szCs w:val="28"/>
          <w:highlight w:val="none"/>
          <w:shd w:val="clear" w:color="auto" w:fill="FFFFFF"/>
          <w:lang w:val="en-US" w:eastAsia="zh-CN"/>
        </w:rPr>
      </w:pPr>
      <w:r>
        <w:rPr>
          <w:rFonts w:hint="eastAsia" w:ascii="宋体" w:hAnsi="宋体" w:eastAsia="宋体" w:cs="宋体"/>
          <w:bCs/>
          <w:color w:val="auto"/>
          <w:sz w:val="28"/>
          <w:szCs w:val="28"/>
          <w:highlight w:val="none"/>
          <w:shd w:val="clear" w:color="auto" w:fill="FFFFFF"/>
          <w:lang w:val="en-US" w:eastAsia="zh-CN"/>
        </w:rPr>
        <w:drawing>
          <wp:inline distT="0" distB="0" distL="0" distR="0">
            <wp:extent cx="5274310" cy="621665"/>
            <wp:effectExtent l="0" t="0" r="2540" b="6985"/>
            <wp:docPr id="193" name="IM 193"/>
            <wp:cNvGraphicFramePr/>
            <a:graphic xmlns:a="http://schemas.openxmlformats.org/drawingml/2006/main">
              <a:graphicData uri="http://schemas.openxmlformats.org/drawingml/2006/picture">
                <pic:pic xmlns:pic="http://schemas.openxmlformats.org/drawingml/2006/picture">
                  <pic:nvPicPr>
                    <pic:cNvPr id="193" name="IM 193"/>
                    <pic:cNvPicPr/>
                  </pic:nvPicPr>
                  <pic:blipFill>
                    <a:blip r:embed="rId6"/>
                    <a:stretch>
                      <a:fillRect/>
                    </a:stretch>
                  </pic:blipFill>
                  <pic:spPr>
                    <a:xfrm>
                      <a:off x="0" y="0"/>
                      <a:ext cx="5274563" cy="621791"/>
                    </a:xfrm>
                    <a:prstGeom prst="rect">
                      <a:avLst/>
                    </a:prstGeom>
                  </pic:spPr>
                </pic:pic>
              </a:graphicData>
            </a:graphic>
          </wp:inline>
        </w:drawing>
      </w:r>
    </w:p>
    <w:p w14:paraId="272022A7">
      <w:pPr>
        <w:pStyle w:val="8"/>
        <w:shd w:val="clear"/>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由于</w:t>
      </w:r>
      <w:r>
        <w:rPr>
          <w:rFonts w:hint="eastAsia" w:cs="Times New Roman"/>
          <w:sz w:val="28"/>
          <w:szCs w:val="21"/>
          <w:highlight w:val="none"/>
          <w:lang w:val="en-US" w:eastAsia="zh-CN"/>
        </w:rPr>
        <w:t>VOCs</w:t>
      </w:r>
      <w:r>
        <w:rPr>
          <w:rFonts w:hint="eastAsia" w:ascii="Times New Roman" w:hAnsi="Times New Roman" w:cs="Times New Roman"/>
          <w:sz w:val="28"/>
          <w:szCs w:val="21"/>
          <w:highlight w:val="none"/>
          <w:lang w:val="en-US" w:eastAsia="zh-CN"/>
        </w:rPr>
        <w:t>废气净化工艺环节较多，所有环节正常运行才能保证治理效果，因此针对一体化</w:t>
      </w:r>
      <w:r>
        <w:rPr>
          <w:rFonts w:hint="eastAsia" w:cs="Times New Roman"/>
          <w:sz w:val="28"/>
          <w:szCs w:val="21"/>
          <w:highlight w:val="none"/>
          <w:lang w:val="en-US" w:eastAsia="zh-CN"/>
        </w:rPr>
        <w:t>VOCs</w:t>
      </w:r>
      <w:r>
        <w:rPr>
          <w:rFonts w:hint="eastAsia" w:ascii="Times New Roman" w:hAnsi="Times New Roman" w:cs="Times New Roman"/>
          <w:sz w:val="28"/>
          <w:szCs w:val="21"/>
          <w:highlight w:val="none"/>
          <w:lang w:val="en-US" w:eastAsia="zh-CN"/>
        </w:rPr>
        <w:t>废气净化设备。</w:t>
      </w:r>
    </w:p>
    <w:p w14:paraId="1F6E75EA">
      <w:pPr>
        <w:pStyle w:val="8"/>
        <w:shd w:val="clear"/>
        <w:rPr>
          <w:rFonts w:hint="default"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b监管参数</w:t>
      </w:r>
    </w:p>
    <w:tbl>
      <w:tblPr>
        <w:tblStyle w:val="18"/>
        <w:tblW w:w="3851"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579"/>
        <w:gridCol w:w="1872"/>
        <w:gridCol w:w="2196"/>
      </w:tblGrid>
      <w:tr w14:paraId="11A24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jc w:val="center"/>
        </w:trPr>
        <w:tc>
          <w:tcPr>
            <w:tcW w:w="2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64F59">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参数名称</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C07DC">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监管位置</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FD7AB">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监管设备</w:t>
            </w:r>
          </w:p>
        </w:tc>
      </w:tr>
      <w:tr w14:paraId="61F43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2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66870">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光解状态</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A9978">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感知器</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551D6">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工业数据边缘计算箱</w:t>
            </w:r>
          </w:p>
        </w:tc>
      </w:tr>
      <w:tr w14:paraId="4AF7D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2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B8355">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喷淋泵状态</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548A0">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感知器</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F64E5">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工业数据边缘计算箱</w:t>
            </w:r>
          </w:p>
        </w:tc>
      </w:tr>
      <w:tr w14:paraId="4BE93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2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D2D8B">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喷淋流量</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DAEFC">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感知器</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DC341">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工业数据边缘计算箱</w:t>
            </w:r>
          </w:p>
        </w:tc>
      </w:tr>
      <w:tr w14:paraId="308C3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2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E3356">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进出口压力</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219F8">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感知器</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271C5">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工业数据边缘计算箱</w:t>
            </w:r>
          </w:p>
        </w:tc>
      </w:tr>
    </w:tbl>
    <w:p w14:paraId="6219B93E">
      <w:pPr>
        <w:pStyle w:val="8"/>
        <w:keepNext w:val="0"/>
        <w:keepLines w:val="0"/>
        <w:pageBreakBefore w:val="0"/>
        <w:widowControl w:val="0"/>
        <w:shd w:val="clear"/>
        <w:kinsoku/>
        <w:wordWrap/>
        <w:overflowPunct/>
        <w:topLinePunct w:val="0"/>
        <w:autoSpaceDE/>
        <w:autoSpaceDN/>
        <w:bidi w:val="0"/>
        <w:adjustRightInd/>
        <w:snapToGrid/>
        <w:textAlignment w:val="auto"/>
        <w:outlineLvl w:val="8"/>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B蓄热式氧化处理（RTO）</w:t>
      </w:r>
    </w:p>
    <w:p w14:paraId="11099F63">
      <w:pPr>
        <w:pStyle w:val="8"/>
        <w:shd w:val="clear"/>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a工艺</w:t>
      </w:r>
    </w:p>
    <w:p w14:paraId="72CBEA34">
      <w:pPr>
        <w:pStyle w:val="8"/>
        <w:shd w:val="clear"/>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热氧化法是应用氧化法和催化氧化技术来破坏排放物种的有机物的方法。蓄热室热氧化器与目前国内使用的其他热氧化技术的不同之处，是使用陶瓷或其他的高密度惰性材料床从排除的燃烧的气体中吸收并且存储热量，再将热量释放给冷的进口气体，而不是采用管壳式进行两种流体间的换热，RTO可达到98%以上的热回收效率。</w:t>
      </w:r>
    </w:p>
    <w:p w14:paraId="4B77DFE4">
      <w:pPr>
        <w:pStyle w:val="8"/>
        <w:shd w:val="clear"/>
        <w:rPr>
          <w:rFonts w:hint="eastAsia" w:ascii="宋体" w:hAnsi="宋体" w:eastAsia="宋体" w:cs="宋体"/>
          <w:bCs/>
          <w:color w:val="auto"/>
          <w:sz w:val="28"/>
          <w:szCs w:val="28"/>
          <w:highlight w:val="none"/>
          <w:shd w:val="clear" w:color="auto" w:fill="FFFFFF"/>
          <w:lang w:val="en-US" w:eastAsia="zh-CN"/>
        </w:rPr>
      </w:pPr>
      <w:r>
        <w:rPr>
          <w:rFonts w:hint="eastAsia" w:ascii="Times New Roman" w:hAnsi="Times New Roman" w:cs="Times New Roman"/>
          <w:sz w:val="28"/>
          <w:szCs w:val="21"/>
          <w:highlight w:val="none"/>
          <w:lang w:val="en-US" w:eastAsia="zh-CN"/>
        </w:rPr>
        <w:t>蓄热室热氧化器的工作原理是：有机废气经预热室吸热升温后，进入燃烧室高温焚烧（升温到800℃），使有机物氧化成二氧化碳和水，再经过另一个蓄热室蓄存热量后排放，蓄存的热量用于预热新进入的有机废气，经过周期性地改变气流方向从而保持炉膛温度的稳定。</w:t>
      </w:r>
    </w:p>
    <w:p w14:paraId="1463C9B3">
      <w:pPr>
        <w:pStyle w:val="23"/>
        <w:keepNext w:val="0"/>
        <w:keepLines w:val="0"/>
        <w:pageBreakBefore w:val="0"/>
        <w:widowControl w:val="0"/>
        <w:shd w:val="clear"/>
        <w:kinsoku/>
        <w:wordWrap/>
        <w:overflowPunct/>
        <w:topLinePunct w:val="0"/>
        <w:autoSpaceDE w:val="0"/>
        <w:autoSpaceDN w:val="0"/>
        <w:bidi w:val="0"/>
        <w:adjustRightInd w:val="0"/>
        <w:snapToGrid/>
        <w:spacing w:line="360" w:lineRule="auto"/>
        <w:ind w:firstLine="560" w:firstLineChars="200"/>
        <w:textAlignment w:val="auto"/>
        <w:rPr>
          <w:rFonts w:hint="eastAsia" w:ascii="宋体" w:hAnsi="宋体" w:eastAsia="宋体" w:cs="宋体"/>
          <w:bCs/>
          <w:color w:val="auto"/>
          <w:sz w:val="28"/>
          <w:szCs w:val="28"/>
          <w:highlight w:val="none"/>
          <w:shd w:val="clear" w:color="auto" w:fill="FFFFFF"/>
          <w:lang w:val="en-US" w:eastAsia="zh-CN"/>
        </w:rPr>
      </w:pPr>
      <w:r>
        <w:rPr>
          <w:rFonts w:hint="eastAsia" w:ascii="宋体" w:hAnsi="宋体" w:eastAsia="宋体" w:cs="宋体"/>
          <w:bCs/>
          <w:color w:val="auto"/>
          <w:sz w:val="28"/>
          <w:szCs w:val="28"/>
          <w:highlight w:val="none"/>
          <w:shd w:val="clear" w:color="auto" w:fill="FFFFFF"/>
          <w:lang w:val="en-US" w:eastAsia="zh-CN"/>
        </w:rPr>
        <w:drawing>
          <wp:inline distT="0" distB="0" distL="0" distR="0">
            <wp:extent cx="5274310" cy="1591945"/>
            <wp:effectExtent l="0" t="0" r="2540" b="8255"/>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7"/>
                    <a:stretch>
                      <a:fillRect/>
                    </a:stretch>
                  </pic:blipFill>
                  <pic:spPr>
                    <a:xfrm>
                      <a:off x="0" y="0"/>
                      <a:ext cx="5274563" cy="1592579"/>
                    </a:xfrm>
                    <a:prstGeom prst="rect">
                      <a:avLst/>
                    </a:prstGeom>
                  </pic:spPr>
                </pic:pic>
              </a:graphicData>
            </a:graphic>
          </wp:inline>
        </w:drawing>
      </w:r>
    </w:p>
    <w:p w14:paraId="68EFE945">
      <w:pPr>
        <w:pStyle w:val="23"/>
        <w:keepNext w:val="0"/>
        <w:keepLines w:val="0"/>
        <w:pageBreakBefore w:val="0"/>
        <w:widowControl w:val="0"/>
        <w:shd w:val="clear"/>
        <w:kinsoku/>
        <w:wordWrap/>
        <w:overflowPunct/>
        <w:topLinePunct w:val="0"/>
        <w:autoSpaceDE w:val="0"/>
        <w:autoSpaceDN w:val="0"/>
        <w:bidi w:val="0"/>
        <w:adjustRightInd w:val="0"/>
        <w:snapToGrid/>
        <w:spacing w:line="360" w:lineRule="auto"/>
        <w:ind w:firstLine="560" w:firstLineChars="200"/>
        <w:textAlignment w:val="auto"/>
        <w:rPr>
          <w:rFonts w:hint="default" w:hAnsi="宋体" w:cs="宋体"/>
          <w:bCs/>
          <w:color w:val="auto"/>
          <w:sz w:val="28"/>
          <w:szCs w:val="28"/>
          <w:highlight w:val="none"/>
          <w:shd w:val="clear" w:color="auto" w:fill="FFFFFF"/>
          <w:lang w:val="en-US" w:eastAsia="zh-CN"/>
        </w:rPr>
      </w:pPr>
      <w:r>
        <w:rPr>
          <w:rFonts w:hint="eastAsia" w:hAnsi="宋体" w:cs="宋体"/>
          <w:bCs/>
          <w:color w:val="auto"/>
          <w:sz w:val="28"/>
          <w:szCs w:val="28"/>
          <w:highlight w:val="none"/>
          <w:shd w:val="clear" w:color="auto" w:fill="FFFFFF"/>
          <w:lang w:val="en-US" w:eastAsia="zh-CN"/>
        </w:rPr>
        <w:t>b监管参数</w:t>
      </w:r>
    </w:p>
    <w:tbl>
      <w:tblPr>
        <w:tblStyle w:val="18"/>
        <w:tblW w:w="3851"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579"/>
        <w:gridCol w:w="1872"/>
        <w:gridCol w:w="2196"/>
      </w:tblGrid>
      <w:tr w14:paraId="4015C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jc w:val="center"/>
        </w:trPr>
        <w:tc>
          <w:tcPr>
            <w:tcW w:w="2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BD778">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参数名称</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799B1">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监管位置</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6C5B4">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监管设备</w:t>
            </w:r>
          </w:p>
        </w:tc>
      </w:tr>
      <w:tr w14:paraId="1F666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jc w:val="center"/>
        </w:trPr>
        <w:tc>
          <w:tcPr>
            <w:tcW w:w="2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5F615">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蓄热室温度</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78FD3">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感知器</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A4A01">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工业数据边缘计算箱</w:t>
            </w:r>
          </w:p>
        </w:tc>
      </w:tr>
      <w:tr w14:paraId="6D9EA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jc w:val="center"/>
        </w:trPr>
        <w:tc>
          <w:tcPr>
            <w:tcW w:w="2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E5DC1">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风机状态</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5911B">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感知器</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C4B94">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工业数据边缘计算箱</w:t>
            </w:r>
          </w:p>
        </w:tc>
      </w:tr>
      <w:tr w14:paraId="1750E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2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DA392">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进出口压力</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31243">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感知器</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F6CA7">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工业数据边缘计算箱</w:t>
            </w:r>
          </w:p>
        </w:tc>
      </w:tr>
    </w:tbl>
    <w:p w14:paraId="59A38948">
      <w:pPr>
        <w:pStyle w:val="8"/>
        <w:keepNext w:val="0"/>
        <w:keepLines w:val="0"/>
        <w:pageBreakBefore w:val="0"/>
        <w:widowControl w:val="0"/>
        <w:shd w:val="clear"/>
        <w:kinsoku/>
        <w:wordWrap/>
        <w:overflowPunct/>
        <w:topLinePunct w:val="0"/>
        <w:autoSpaceDE/>
        <w:autoSpaceDN/>
        <w:bidi w:val="0"/>
        <w:adjustRightInd/>
        <w:snapToGrid/>
        <w:textAlignment w:val="auto"/>
        <w:outlineLvl w:val="8"/>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C膜分离</w:t>
      </w:r>
    </w:p>
    <w:p w14:paraId="63B015FC">
      <w:pPr>
        <w:pStyle w:val="8"/>
        <w:shd w:val="clear"/>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a工艺</w:t>
      </w:r>
    </w:p>
    <w:p w14:paraId="53222CDA">
      <w:pPr>
        <w:pStyle w:val="8"/>
        <w:shd w:val="clear"/>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膜分离是选用人工合成的或天然的膜材料为隔障,来分离混合气体或液体的过程。该法是一种新的高效分离方法。用膜分离法可回收的有机物包括脂肪族和芳香族化合物，卤代烃、醛、酮、腈、酚、醇、胺酯等。该法最适合处理有机物浓度较高的废气，回收效率可以达到97%以上。有机废气进入压缩机压缩后进入冷凝器中冷凝,其中冷凝下来的有机物可以回收，余下未冷凝的部分通过膜分离单元分成两股，一部分回流至压缩机,另一部分直接从系统中排出。为保证渗透过程的进行,膜的进料侧压力需高于渗透后气流的侧压力。</w:t>
      </w:r>
    </w:p>
    <w:p w14:paraId="215E5ED6">
      <w:pPr>
        <w:pStyle w:val="23"/>
        <w:keepNext w:val="0"/>
        <w:keepLines w:val="0"/>
        <w:pageBreakBefore w:val="0"/>
        <w:widowControl w:val="0"/>
        <w:shd w:val="clear"/>
        <w:kinsoku/>
        <w:wordWrap/>
        <w:overflowPunct/>
        <w:topLinePunct w:val="0"/>
        <w:autoSpaceDE w:val="0"/>
        <w:autoSpaceDN w:val="0"/>
        <w:bidi w:val="0"/>
        <w:adjustRightInd w:val="0"/>
        <w:snapToGrid/>
        <w:spacing w:line="360" w:lineRule="auto"/>
        <w:textAlignment w:val="auto"/>
        <w:rPr>
          <w:rFonts w:hint="eastAsia" w:ascii="宋体" w:hAnsi="宋体" w:eastAsia="宋体" w:cs="宋体"/>
          <w:bCs/>
          <w:color w:val="auto"/>
          <w:sz w:val="28"/>
          <w:szCs w:val="28"/>
          <w:highlight w:val="none"/>
          <w:shd w:val="clear" w:color="auto" w:fill="FFFFFF"/>
          <w:lang w:val="en-US" w:eastAsia="zh-CN"/>
        </w:rPr>
      </w:pPr>
      <w:r>
        <w:rPr>
          <w:rFonts w:hint="eastAsia" w:ascii="宋体" w:hAnsi="宋体" w:eastAsia="宋体" w:cs="宋体"/>
          <w:bCs/>
          <w:color w:val="auto"/>
          <w:sz w:val="28"/>
          <w:szCs w:val="28"/>
          <w:highlight w:val="none"/>
          <w:shd w:val="clear" w:color="auto" w:fill="FFFFFF"/>
          <w:lang w:val="en-US" w:eastAsia="zh-CN"/>
        </w:rPr>
        <w:drawing>
          <wp:inline distT="0" distB="0" distL="0" distR="0">
            <wp:extent cx="5274310" cy="840740"/>
            <wp:effectExtent l="0" t="0" r="2540" b="16510"/>
            <wp:docPr id="195" name="IM 195"/>
            <wp:cNvGraphicFramePr/>
            <a:graphic xmlns:a="http://schemas.openxmlformats.org/drawingml/2006/main">
              <a:graphicData uri="http://schemas.openxmlformats.org/drawingml/2006/picture">
                <pic:pic xmlns:pic="http://schemas.openxmlformats.org/drawingml/2006/picture">
                  <pic:nvPicPr>
                    <pic:cNvPr id="195" name="IM 195"/>
                    <pic:cNvPicPr/>
                  </pic:nvPicPr>
                  <pic:blipFill>
                    <a:blip r:embed="rId8"/>
                    <a:stretch>
                      <a:fillRect/>
                    </a:stretch>
                  </pic:blipFill>
                  <pic:spPr>
                    <a:xfrm>
                      <a:off x="0" y="0"/>
                      <a:ext cx="5274563" cy="841247"/>
                    </a:xfrm>
                    <a:prstGeom prst="rect">
                      <a:avLst/>
                    </a:prstGeom>
                  </pic:spPr>
                </pic:pic>
              </a:graphicData>
            </a:graphic>
          </wp:inline>
        </w:drawing>
      </w:r>
    </w:p>
    <w:p w14:paraId="768E9AF7">
      <w:pPr>
        <w:pStyle w:val="8"/>
        <w:shd w:val="clear"/>
        <w:rPr>
          <w:rFonts w:hint="default"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b监管参数</w:t>
      </w:r>
    </w:p>
    <w:tbl>
      <w:tblPr>
        <w:tblStyle w:val="18"/>
        <w:tblW w:w="3851"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579"/>
        <w:gridCol w:w="1872"/>
        <w:gridCol w:w="2196"/>
      </w:tblGrid>
      <w:tr w14:paraId="17D53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jc w:val="center"/>
        </w:trPr>
        <w:tc>
          <w:tcPr>
            <w:tcW w:w="2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B3FBC">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参数名称</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AE17D">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监管位置</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BB7DC">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监管设备</w:t>
            </w:r>
          </w:p>
        </w:tc>
      </w:tr>
      <w:tr w14:paraId="2C486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2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2B789">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风机状态</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94B84">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感知器</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9F4B3">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工业数据边缘计算箱</w:t>
            </w:r>
          </w:p>
        </w:tc>
      </w:tr>
      <w:tr w14:paraId="41988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2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6DB04">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压缩机状态</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B75BB">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感知器</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13E5F">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工业数据边缘计算箱</w:t>
            </w:r>
          </w:p>
        </w:tc>
      </w:tr>
      <w:tr w14:paraId="6A227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2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1B26B">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冷凝器温度</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870A0">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感知器</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BFE0B">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工业数据边缘计算箱</w:t>
            </w:r>
          </w:p>
        </w:tc>
      </w:tr>
      <w:tr w14:paraId="72570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2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52D38">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膜单元进出口压力</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D3292">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感知器</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251DB">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工业数据边缘计算箱</w:t>
            </w:r>
          </w:p>
        </w:tc>
      </w:tr>
    </w:tbl>
    <w:p w14:paraId="4101CEAC">
      <w:pPr>
        <w:pStyle w:val="8"/>
        <w:keepNext w:val="0"/>
        <w:keepLines w:val="0"/>
        <w:pageBreakBefore w:val="0"/>
        <w:widowControl w:val="0"/>
        <w:shd w:val="clear"/>
        <w:kinsoku/>
        <w:wordWrap/>
        <w:overflowPunct/>
        <w:topLinePunct w:val="0"/>
        <w:autoSpaceDE/>
        <w:autoSpaceDN/>
        <w:bidi w:val="0"/>
        <w:adjustRightInd/>
        <w:snapToGrid/>
        <w:textAlignment w:val="auto"/>
        <w:outlineLvl w:val="8"/>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D活性炭吸附</w:t>
      </w:r>
    </w:p>
    <w:p w14:paraId="77782024">
      <w:pPr>
        <w:pStyle w:val="8"/>
        <w:shd w:val="clear"/>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a工艺</w:t>
      </w:r>
    </w:p>
    <w:p w14:paraId="2D30D238">
      <w:pPr>
        <w:pStyle w:val="8"/>
        <w:shd w:val="clear"/>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利用吸附剂（粒状活性炭和活性炭纤维）的多孔结构，将废气中的</w:t>
      </w:r>
      <w:r>
        <w:rPr>
          <w:rFonts w:hint="eastAsia" w:cs="Times New Roman"/>
          <w:sz w:val="28"/>
          <w:szCs w:val="21"/>
          <w:highlight w:val="none"/>
          <w:lang w:val="en-US" w:eastAsia="zh-CN"/>
        </w:rPr>
        <w:t>VOCs</w:t>
      </w:r>
      <w:r>
        <w:rPr>
          <w:rFonts w:hint="eastAsia" w:ascii="Times New Roman" w:hAnsi="Times New Roman" w:cs="Times New Roman"/>
          <w:sz w:val="28"/>
          <w:szCs w:val="21"/>
          <w:highlight w:val="none"/>
          <w:lang w:val="en-US" w:eastAsia="zh-CN"/>
        </w:rPr>
        <w:t>捕获。将含</w:t>
      </w:r>
      <w:r>
        <w:rPr>
          <w:rFonts w:hint="eastAsia" w:cs="Times New Roman"/>
          <w:sz w:val="28"/>
          <w:szCs w:val="21"/>
          <w:highlight w:val="none"/>
          <w:lang w:val="en-US" w:eastAsia="zh-CN"/>
        </w:rPr>
        <w:t>VOCs</w:t>
      </w:r>
      <w:r>
        <w:rPr>
          <w:rFonts w:hint="eastAsia" w:ascii="Times New Roman" w:hAnsi="Times New Roman" w:cs="Times New Roman"/>
          <w:sz w:val="28"/>
          <w:szCs w:val="21"/>
          <w:highlight w:val="none"/>
          <w:lang w:val="en-US" w:eastAsia="zh-CN"/>
        </w:rPr>
        <w:t>的有机废气通过活性炭床，其中的</w:t>
      </w:r>
      <w:r>
        <w:rPr>
          <w:rFonts w:hint="eastAsia" w:cs="Times New Roman"/>
          <w:sz w:val="28"/>
          <w:szCs w:val="21"/>
          <w:highlight w:val="none"/>
          <w:lang w:val="en-US" w:eastAsia="zh-CN"/>
        </w:rPr>
        <w:t>VOCs</w:t>
      </w:r>
      <w:r>
        <w:rPr>
          <w:rFonts w:hint="eastAsia" w:ascii="Times New Roman" w:hAnsi="Times New Roman" w:cs="Times New Roman"/>
          <w:sz w:val="28"/>
          <w:szCs w:val="21"/>
          <w:highlight w:val="none"/>
          <w:lang w:val="en-US" w:eastAsia="zh-CN"/>
        </w:rPr>
        <w:t>被吸附剂吸附，废气得到净化，而排入大气。炭吸附法主要用于脂肪和芳香族碳氢化合物、大部分含氯溶剂、常用醇类、部分酮类和酯类等的回收。</w:t>
      </w:r>
    </w:p>
    <w:p w14:paraId="7EE46459">
      <w:pPr>
        <w:pStyle w:val="8"/>
        <w:shd w:val="clear"/>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drawing>
          <wp:inline distT="0" distB="0" distL="0" distR="0">
            <wp:extent cx="5248275" cy="1189990"/>
            <wp:effectExtent l="0" t="0" r="9525" b="10160"/>
            <wp:docPr id="197" name="IM 197"/>
            <wp:cNvGraphicFramePr/>
            <a:graphic xmlns:a="http://schemas.openxmlformats.org/drawingml/2006/main">
              <a:graphicData uri="http://schemas.openxmlformats.org/drawingml/2006/picture">
                <pic:pic xmlns:pic="http://schemas.openxmlformats.org/drawingml/2006/picture">
                  <pic:nvPicPr>
                    <pic:cNvPr id="197" name="IM 197"/>
                    <pic:cNvPicPr/>
                  </pic:nvPicPr>
                  <pic:blipFill>
                    <a:blip r:embed="rId9"/>
                    <a:stretch>
                      <a:fillRect/>
                    </a:stretch>
                  </pic:blipFill>
                  <pic:spPr>
                    <a:xfrm>
                      <a:off x="0" y="0"/>
                      <a:ext cx="5248655" cy="1190243"/>
                    </a:xfrm>
                    <a:prstGeom prst="rect">
                      <a:avLst/>
                    </a:prstGeom>
                  </pic:spPr>
                </pic:pic>
              </a:graphicData>
            </a:graphic>
          </wp:inline>
        </w:drawing>
      </w:r>
    </w:p>
    <w:p w14:paraId="07FEFFE0">
      <w:pPr>
        <w:pStyle w:val="8"/>
        <w:shd w:val="clear"/>
        <w:rPr>
          <w:rFonts w:hint="default"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b监管参数</w:t>
      </w:r>
    </w:p>
    <w:tbl>
      <w:tblPr>
        <w:tblStyle w:val="18"/>
        <w:tblW w:w="3851"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579"/>
        <w:gridCol w:w="1872"/>
        <w:gridCol w:w="2196"/>
      </w:tblGrid>
      <w:tr w14:paraId="0135D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jc w:val="center"/>
        </w:trPr>
        <w:tc>
          <w:tcPr>
            <w:tcW w:w="2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5A85A">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参数名称</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AF951">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监管位置</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594F6">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监管设备</w:t>
            </w:r>
          </w:p>
        </w:tc>
      </w:tr>
      <w:tr w14:paraId="5367E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2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E0A36">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风机状态</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4A03C">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感知器</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68E11">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工业数据边缘计算箱</w:t>
            </w:r>
          </w:p>
        </w:tc>
      </w:tr>
      <w:tr w14:paraId="00531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2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11CA2">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活性炭箱门开关</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87C88">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感知器</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E0F69">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工业数据边缘计算箱</w:t>
            </w:r>
          </w:p>
        </w:tc>
      </w:tr>
      <w:tr w14:paraId="73448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2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02A09">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进出口压力</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ADB28">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感知器</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B5F80">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工业数据边缘计算箱</w:t>
            </w:r>
          </w:p>
        </w:tc>
      </w:tr>
    </w:tbl>
    <w:p w14:paraId="2626D5ED">
      <w:pPr>
        <w:pStyle w:val="8"/>
        <w:keepNext w:val="0"/>
        <w:keepLines w:val="0"/>
        <w:pageBreakBefore w:val="0"/>
        <w:widowControl w:val="0"/>
        <w:shd w:val="clear"/>
        <w:kinsoku/>
        <w:wordWrap/>
        <w:overflowPunct/>
        <w:topLinePunct w:val="0"/>
        <w:autoSpaceDE/>
        <w:autoSpaceDN/>
        <w:bidi w:val="0"/>
        <w:adjustRightInd/>
        <w:snapToGrid/>
        <w:textAlignment w:val="auto"/>
        <w:outlineLvl w:val="8"/>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E燃烧法</w:t>
      </w:r>
    </w:p>
    <w:p w14:paraId="14FF9128">
      <w:pPr>
        <w:pStyle w:val="8"/>
        <w:shd w:val="clear"/>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a工艺</w:t>
      </w:r>
    </w:p>
    <w:p w14:paraId="426BBD44">
      <w:pPr>
        <w:pStyle w:val="8"/>
        <w:shd w:val="clear"/>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①传统燃烧工艺</w:t>
      </w:r>
    </w:p>
    <w:p w14:paraId="1BED45A0">
      <w:pPr>
        <w:pStyle w:val="8"/>
        <w:shd w:val="clear"/>
        <w:rPr>
          <w:rFonts w:hint="eastAsia" w:ascii="宋体" w:hAnsi="宋体" w:eastAsia="宋体" w:cs="宋体"/>
          <w:bCs/>
          <w:color w:val="auto"/>
          <w:sz w:val="28"/>
          <w:szCs w:val="28"/>
          <w:highlight w:val="none"/>
          <w:shd w:val="clear" w:color="auto" w:fill="FFFFFF"/>
          <w:lang w:val="en-US" w:eastAsia="zh-CN"/>
        </w:rPr>
      </w:pPr>
      <w:r>
        <w:rPr>
          <w:rFonts w:hint="eastAsia" w:ascii="Times New Roman" w:hAnsi="Times New Roman" w:cs="Times New Roman"/>
          <w:sz w:val="28"/>
          <w:szCs w:val="21"/>
          <w:highlight w:val="none"/>
          <w:lang w:val="en-US" w:eastAsia="zh-CN"/>
        </w:rPr>
        <w:t>热破坏法对于浓度较低的有机废气处理效果比较好，因此，在处理低浓度废气中得到了广泛应用。这种方法主要分为两种，即直接火焰燃烧和催化燃烧。直接火焰燃烧对有机废气的热处理效率相对较高，一般情况下可达到99%。而催化燃烧指的是在催化床层的作用下，加快有机废气的化学反应速度。这种方法比直接燃烧用时更少，是高浓度、小流量有机废气净化的首选技术。</w:t>
      </w:r>
    </w:p>
    <w:p w14:paraId="583D8C59">
      <w:pPr>
        <w:pStyle w:val="23"/>
        <w:keepNext w:val="0"/>
        <w:keepLines w:val="0"/>
        <w:pageBreakBefore w:val="0"/>
        <w:widowControl w:val="0"/>
        <w:shd w:val="clear"/>
        <w:kinsoku/>
        <w:wordWrap/>
        <w:overflowPunct/>
        <w:topLinePunct w:val="0"/>
        <w:autoSpaceDE w:val="0"/>
        <w:autoSpaceDN w:val="0"/>
        <w:bidi w:val="0"/>
        <w:adjustRightInd w:val="0"/>
        <w:snapToGrid/>
        <w:spacing w:line="360" w:lineRule="auto"/>
        <w:textAlignment w:val="auto"/>
        <w:rPr>
          <w:rFonts w:hint="eastAsia" w:ascii="宋体" w:hAnsi="宋体" w:eastAsia="宋体" w:cs="宋体"/>
          <w:bCs/>
          <w:color w:val="auto"/>
          <w:sz w:val="28"/>
          <w:szCs w:val="28"/>
          <w:highlight w:val="none"/>
          <w:shd w:val="clear" w:color="auto" w:fill="FFFFFF"/>
          <w:lang w:val="en-US" w:eastAsia="zh-CN"/>
        </w:rPr>
      </w:pPr>
      <w:r>
        <w:rPr>
          <w:rFonts w:hint="eastAsia" w:ascii="宋体" w:hAnsi="宋体" w:eastAsia="宋体" w:cs="宋体"/>
          <w:bCs/>
          <w:color w:val="auto"/>
          <w:sz w:val="28"/>
          <w:szCs w:val="28"/>
          <w:highlight w:val="none"/>
          <w:shd w:val="clear" w:color="auto" w:fill="FFFFFF"/>
          <w:lang w:val="en-US" w:eastAsia="zh-CN"/>
        </w:rPr>
        <w:drawing>
          <wp:inline distT="0" distB="0" distL="0" distR="0">
            <wp:extent cx="5274310" cy="1308735"/>
            <wp:effectExtent l="0" t="0" r="2540" b="5715"/>
            <wp:docPr id="199" name="IM 199"/>
            <wp:cNvGraphicFramePr/>
            <a:graphic xmlns:a="http://schemas.openxmlformats.org/drawingml/2006/main">
              <a:graphicData uri="http://schemas.openxmlformats.org/drawingml/2006/picture">
                <pic:pic xmlns:pic="http://schemas.openxmlformats.org/drawingml/2006/picture">
                  <pic:nvPicPr>
                    <pic:cNvPr id="199" name="IM 199"/>
                    <pic:cNvPicPr/>
                  </pic:nvPicPr>
                  <pic:blipFill>
                    <a:blip r:embed="rId10"/>
                    <a:stretch>
                      <a:fillRect/>
                    </a:stretch>
                  </pic:blipFill>
                  <pic:spPr>
                    <a:xfrm>
                      <a:off x="0" y="0"/>
                      <a:ext cx="5274563" cy="1309116"/>
                    </a:xfrm>
                    <a:prstGeom prst="rect">
                      <a:avLst/>
                    </a:prstGeom>
                  </pic:spPr>
                </pic:pic>
              </a:graphicData>
            </a:graphic>
          </wp:inline>
        </w:drawing>
      </w:r>
    </w:p>
    <w:p w14:paraId="5232A046">
      <w:pPr>
        <w:pStyle w:val="8"/>
        <w:shd w:val="clear"/>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②催化燃烧工艺</w:t>
      </w:r>
    </w:p>
    <w:p w14:paraId="6E9E612A">
      <w:pPr>
        <w:pStyle w:val="8"/>
        <w:shd w:val="clear"/>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催化燃烧法是在克服热力燃烧耗能大等缺点上发展起来的。目前在国内的工业应用中，比较先进的工艺是采用“吸附浓缩—催化燃烧”流程，即将浓度较低的有机废气先用蜂窝状活性炭吸附浓缩后，再进行催化燃烧的净化技术。</w:t>
      </w:r>
    </w:p>
    <w:p w14:paraId="633072B6">
      <w:pPr>
        <w:pStyle w:val="23"/>
        <w:keepNext w:val="0"/>
        <w:keepLines w:val="0"/>
        <w:pageBreakBefore w:val="0"/>
        <w:widowControl w:val="0"/>
        <w:shd w:val="clear"/>
        <w:kinsoku/>
        <w:wordWrap/>
        <w:overflowPunct/>
        <w:topLinePunct w:val="0"/>
        <w:autoSpaceDE w:val="0"/>
        <w:autoSpaceDN w:val="0"/>
        <w:bidi w:val="0"/>
        <w:adjustRightInd w:val="0"/>
        <w:snapToGrid/>
        <w:spacing w:line="360" w:lineRule="auto"/>
        <w:textAlignment w:val="auto"/>
        <w:rPr>
          <w:rFonts w:hint="eastAsia" w:ascii="宋体" w:hAnsi="宋体" w:eastAsia="宋体" w:cs="宋体"/>
          <w:bCs/>
          <w:color w:val="auto"/>
          <w:sz w:val="28"/>
          <w:szCs w:val="28"/>
          <w:highlight w:val="none"/>
          <w:shd w:val="clear" w:color="auto" w:fill="FFFFFF"/>
          <w:lang w:val="en-US" w:eastAsia="zh-CN"/>
        </w:rPr>
      </w:pPr>
      <w:r>
        <w:rPr>
          <w:rFonts w:hint="eastAsia" w:ascii="宋体" w:hAnsi="宋体" w:eastAsia="宋体" w:cs="宋体"/>
          <w:bCs/>
          <w:color w:val="auto"/>
          <w:sz w:val="28"/>
          <w:szCs w:val="28"/>
          <w:highlight w:val="none"/>
          <w:shd w:val="clear" w:color="auto" w:fill="FFFFFF"/>
          <w:lang w:val="en-US" w:eastAsia="zh-CN"/>
        </w:rPr>
        <w:drawing>
          <wp:inline distT="0" distB="0" distL="0" distR="0">
            <wp:extent cx="4686300" cy="1442720"/>
            <wp:effectExtent l="0" t="0" r="0" b="5080"/>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11"/>
                    <a:stretch>
                      <a:fillRect/>
                    </a:stretch>
                  </pic:blipFill>
                  <pic:spPr>
                    <a:xfrm>
                      <a:off x="0" y="0"/>
                      <a:ext cx="4686300" cy="1443228"/>
                    </a:xfrm>
                    <a:prstGeom prst="rect">
                      <a:avLst/>
                    </a:prstGeom>
                  </pic:spPr>
                </pic:pic>
              </a:graphicData>
            </a:graphic>
          </wp:inline>
        </w:drawing>
      </w:r>
    </w:p>
    <w:p w14:paraId="363CEF4F">
      <w:pPr>
        <w:pStyle w:val="8"/>
        <w:shd w:val="clear"/>
        <w:rPr>
          <w:rFonts w:hint="default"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b监管参数</w:t>
      </w:r>
    </w:p>
    <w:tbl>
      <w:tblPr>
        <w:tblStyle w:val="18"/>
        <w:tblW w:w="3851"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579"/>
        <w:gridCol w:w="1872"/>
        <w:gridCol w:w="2196"/>
      </w:tblGrid>
      <w:tr w14:paraId="49DBB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jc w:val="center"/>
        </w:trPr>
        <w:tc>
          <w:tcPr>
            <w:tcW w:w="2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21B4F">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参数名称</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FE330">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监管位置</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71500">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监管设备</w:t>
            </w:r>
          </w:p>
        </w:tc>
      </w:tr>
      <w:tr w14:paraId="14FB0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2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D5E45">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交换器温度</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5DADF">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感知器</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61A43">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工业数据边缘计算箱</w:t>
            </w:r>
          </w:p>
        </w:tc>
      </w:tr>
      <w:tr w14:paraId="3BABD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2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8BD73">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风机状态</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412C0">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感知器</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EA695">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工业数据边缘计算箱</w:t>
            </w:r>
          </w:p>
        </w:tc>
      </w:tr>
      <w:tr w14:paraId="09788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2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32991">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进出口压力</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7E83A">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感知器</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728FA">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工业数据边缘计算箱</w:t>
            </w:r>
          </w:p>
        </w:tc>
      </w:tr>
      <w:tr w14:paraId="4874A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2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7D143">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反应器温度</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8EC3B">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感知器</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442C3">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工业数据边缘计算箱</w:t>
            </w:r>
          </w:p>
        </w:tc>
      </w:tr>
      <w:tr w14:paraId="14791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20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963E5">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天然气流量</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E4E08">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感知器</w:t>
            </w:r>
          </w:p>
        </w:tc>
        <w:tc>
          <w:tcPr>
            <w:tcW w:w="1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78966">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工业数据边缘计算箱</w:t>
            </w:r>
          </w:p>
        </w:tc>
      </w:tr>
    </w:tbl>
    <w:p w14:paraId="248672D4">
      <w:pPr>
        <w:shd w:val="clear"/>
        <w:spacing w:before="23" w:line="57" w:lineRule="exact"/>
        <w:textAlignment w:val="center"/>
        <w:rPr>
          <w:rFonts w:hint="eastAsia" w:ascii="宋体" w:hAnsi="宋体" w:eastAsia="宋体" w:cs="宋体"/>
          <w:color w:val="auto"/>
          <w:highlight w:val="none"/>
        </w:rPr>
      </w:pPr>
    </w:p>
    <w:p w14:paraId="5A8F9E59">
      <w:pPr>
        <w:pStyle w:val="8"/>
        <w:keepNext w:val="0"/>
        <w:keepLines w:val="0"/>
        <w:pageBreakBefore w:val="0"/>
        <w:widowControl w:val="0"/>
        <w:shd w:val="clear"/>
        <w:kinsoku/>
        <w:wordWrap/>
        <w:overflowPunct/>
        <w:topLinePunct w:val="0"/>
        <w:autoSpaceDE/>
        <w:autoSpaceDN/>
        <w:bidi w:val="0"/>
        <w:adjustRightInd/>
        <w:snapToGrid/>
        <w:textAlignment w:val="auto"/>
        <w:outlineLvl w:val="3"/>
        <w:rPr>
          <w:rFonts w:hint="eastAsia" w:asciiTheme="majorEastAsia" w:hAnsiTheme="majorEastAsia" w:eastAsiaTheme="majorEastAsia" w:cstheme="majorEastAsia"/>
          <w:b/>
          <w:bCs/>
          <w:sz w:val="28"/>
          <w:szCs w:val="21"/>
          <w:highlight w:val="none"/>
          <w:lang w:val="en-US" w:eastAsia="zh-CN"/>
        </w:rPr>
      </w:pPr>
      <w:bookmarkStart w:id="31" w:name="_bookmark52"/>
      <w:bookmarkEnd w:id="31"/>
      <w:r>
        <w:rPr>
          <w:rFonts w:hint="eastAsia" w:asciiTheme="majorEastAsia" w:hAnsiTheme="majorEastAsia" w:eastAsiaTheme="majorEastAsia" w:cstheme="majorEastAsia"/>
          <w:b/>
          <w:bCs/>
          <w:sz w:val="28"/>
          <w:szCs w:val="21"/>
          <w:highlight w:val="none"/>
          <w:lang w:val="en-US" w:eastAsia="zh-CN"/>
        </w:rPr>
        <w:t>5.3.2保定市智慧环保管理系统</w:t>
      </w:r>
    </w:p>
    <w:p w14:paraId="5B34020B">
      <w:pPr>
        <w:pStyle w:val="8"/>
        <w:keepNext w:val="0"/>
        <w:keepLines w:val="0"/>
        <w:pageBreakBefore w:val="0"/>
        <w:widowControl w:val="0"/>
        <w:shd w:val="clear"/>
        <w:kinsoku/>
        <w:wordWrap/>
        <w:overflowPunct/>
        <w:topLinePunct w:val="0"/>
        <w:autoSpaceDE/>
        <w:autoSpaceDN/>
        <w:bidi w:val="0"/>
        <w:adjustRightInd/>
        <w:snapToGrid/>
        <w:textAlignment w:val="auto"/>
        <w:outlineLvl w:val="4"/>
        <w:rPr>
          <w:rFonts w:hint="eastAsia" w:ascii="Times New Roman" w:hAnsi="Times New Roman" w:cs="Times New Roman"/>
          <w:b/>
          <w:bCs/>
          <w:sz w:val="28"/>
          <w:szCs w:val="21"/>
          <w:highlight w:val="none"/>
          <w:lang w:val="en-US" w:eastAsia="zh-CN"/>
        </w:rPr>
      </w:pPr>
      <w:bookmarkStart w:id="32" w:name="_Toc132795573"/>
      <w:r>
        <w:rPr>
          <w:rFonts w:hint="eastAsia" w:cs="Times New Roman"/>
          <w:b/>
          <w:bCs/>
          <w:sz w:val="28"/>
          <w:szCs w:val="21"/>
          <w:highlight w:val="none"/>
          <w:lang w:val="en-US" w:eastAsia="zh-CN"/>
        </w:rPr>
        <w:t>5.3</w:t>
      </w:r>
      <w:r>
        <w:rPr>
          <w:rFonts w:hint="eastAsia" w:ascii="Times New Roman" w:hAnsi="Times New Roman" w:cs="Times New Roman"/>
          <w:b/>
          <w:bCs/>
          <w:sz w:val="28"/>
          <w:szCs w:val="21"/>
          <w:highlight w:val="none"/>
          <w:lang w:val="en-US" w:eastAsia="zh-CN"/>
        </w:rPr>
        <w:t>.2.</w:t>
      </w:r>
      <w:bookmarkEnd w:id="32"/>
      <w:r>
        <w:rPr>
          <w:rFonts w:hint="eastAsia" w:cs="Times New Roman"/>
          <w:b/>
          <w:bCs/>
          <w:sz w:val="28"/>
          <w:szCs w:val="21"/>
          <w:highlight w:val="none"/>
          <w:lang w:val="en-US" w:eastAsia="zh-CN"/>
        </w:rPr>
        <w:t>1系统</w:t>
      </w:r>
      <w:r>
        <w:rPr>
          <w:rFonts w:hint="eastAsia" w:ascii="Times New Roman" w:hAnsi="Times New Roman" w:cs="Times New Roman"/>
          <w:b/>
          <w:bCs/>
          <w:sz w:val="28"/>
          <w:szCs w:val="21"/>
          <w:highlight w:val="none"/>
          <w:lang w:val="en-US" w:eastAsia="zh-CN"/>
        </w:rPr>
        <w:t>架构</w:t>
      </w:r>
    </w:p>
    <w:p w14:paraId="5C00EF32">
      <w:pPr>
        <w:shd w:val="clear"/>
        <w:adjustRightInd w:val="0"/>
        <w:snapToGrid w:val="0"/>
        <w:spacing w:line="360" w:lineRule="auto"/>
        <w:ind w:firstLine="560" w:firstLineChars="200"/>
        <w:jc w:val="left"/>
        <w:textAlignment w:val="baseline"/>
        <w:rPr>
          <w:rFonts w:hint="default" w:ascii="仿宋" w:hAnsi="仿宋" w:eastAsia="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系统利旧，与本项目系统展示体系包含首页、一企一档、数据中心、系统设置等，功能应用包含治理设施精细化监管、重污染天气应急预案落实情况监管、活性炭更换全链条监管、</w:t>
      </w:r>
      <w:r>
        <w:rPr>
          <w:rFonts w:hint="eastAsia" w:ascii="仿宋" w:hAnsi="仿宋" w:eastAsia="仿宋" w:cs="仿宋"/>
          <w:bCs/>
          <w:sz w:val="28"/>
          <w:szCs w:val="28"/>
          <w:highlight w:val="none"/>
          <w:lang w:val="en-US" w:eastAsia="zh-CN"/>
        </w:rPr>
        <w:t>减排量精准核算</w:t>
      </w:r>
      <w:r>
        <w:rPr>
          <w:rFonts w:hint="eastAsia" w:ascii="仿宋" w:hAnsi="仿宋" w:eastAsia="仿宋" w:cs="仿宋"/>
          <w:bCs/>
          <w:sz w:val="28"/>
          <w:szCs w:val="28"/>
          <w:highlight w:val="none"/>
        </w:rPr>
        <w:t>管理</w:t>
      </w:r>
      <w:r>
        <w:rPr>
          <w:rFonts w:hint="eastAsia" w:ascii="仿宋" w:hAnsi="仿宋" w:cs="仿宋"/>
          <w:bCs/>
          <w:sz w:val="28"/>
          <w:szCs w:val="28"/>
          <w:highlight w:val="none"/>
          <w:lang w:eastAsia="zh-CN"/>
        </w:rPr>
        <w:t>、</w:t>
      </w:r>
      <w:r>
        <w:rPr>
          <w:rFonts w:hint="eastAsia" w:ascii="仿宋" w:hAnsi="仿宋" w:cs="仿宋"/>
          <w:sz w:val="28"/>
          <w:szCs w:val="28"/>
          <w:highlight w:val="none"/>
          <w:lang w:val="en-US" w:eastAsia="zh-CN"/>
        </w:rPr>
        <w:t>区域污染物排放总量控制等功能。</w:t>
      </w:r>
      <w:r>
        <w:rPr>
          <w:rFonts w:hint="eastAsia" w:ascii="仿宋" w:hAnsi="仿宋" w:cs="仿宋"/>
          <w:bCs/>
          <w:sz w:val="28"/>
          <w:szCs w:val="28"/>
          <w:highlight w:val="none"/>
          <w:shd w:val="clear" w:color="auto" w:fill="FFFFFF"/>
          <w:lang w:val="en-US" w:eastAsia="zh-CN"/>
        </w:rPr>
        <w:t>整个平台能够立体式多角度详细展示区域涉VOCs企业污染排放综合情况，用电情况、工况参数，企业产污、治理数据，企业污染预警及执法业务数据。系统融合度高，适配性好，具有多功能、多应用的实用价值。</w:t>
      </w:r>
    </w:p>
    <w:p w14:paraId="5F9D5C21">
      <w:pPr>
        <w:pStyle w:val="8"/>
        <w:keepNext w:val="0"/>
        <w:keepLines w:val="0"/>
        <w:pageBreakBefore w:val="0"/>
        <w:widowControl w:val="0"/>
        <w:shd w:val="clear"/>
        <w:kinsoku/>
        <w:wordWrap/>
        <w:overflowPunct/>
        <w:topLinePunct w:val="0"/>
        <w:autoSpaceDE/>
        <w:autoSpaceDN/>
        <w:bidi w:val="0"/>
        <w:adjustRightInd/>
        <w:snapToGrid/>
        <w:textAlignment w:val="auto"/>
        <w:outlineLvl w:val="4"/>
        <w:rPr>
          <w:rFonts w:hint="default" w:cs="Times New Roman"/>
          <w:b/>
          <w:bCs/>
          <w:sz w:val="28"/>
          <w:szCs w:val="21"/>
          <w:highlight w:val="none"/>
          <w:lang w:val="en-US" w:eastAsia="zh-CN"/>
        </w:rPr>
      </w:pPr>
      <w:r>
        <w:rPr>
          <w:rFonts w:hint="eastAsia" w:cs="Times New Roman"/>
          <w:b/>
          <w:bCs/>
          <w:sz w:val="28"/>
          <w:szCs w:val="21"/>
          <w:highlight w:val="none"/>
          <w:lang w:val="en-US" w:eastAsia="zh-CN"/>
        </w:rPr>
        <w:t>5.3.2.2系统平台展示体系介绍</w:t>
      </w:r>
    </w:p>
    <w:p w14:paraId="47D6F2A3">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首页：作为保定市智慧环保管理系统的入口，提供直观的数据展示和概览，包括空气质量指数、废气排放总量、治理设施运行状态等关键信息，方便用户快速了解当前环保状况。GIS 展示支持通过 GIS 地图宏观展现监管企业分布情况、运行情况、问题企业情况；能以不同的颜色显示企业正常/报警状态，点击图标可查看企业全景图像和企业基本信息。KPI 指标展示支持监管企业数、限产企业数、问题企业数等关键 KPI 指标动态显示。趋势分析展示支持环比分析、报警排名、按行业/地区企业占比分析等分析展示。情况总览监管辖区内排污企业实时运行状况，对治污设施停运、低功率运转，减产、限产、错峰生产执行不到位企业醒目标识。情况总览服务提供企业管控列表、企业筛选和企业详情等内容。</w:t>
      </w:r>
    </w:p>
    <w:p w14:paraId="00CDF669">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a)</w:t>
      </w:r>
      <w:r>
        <w:rPr>
          <w:rFonts w:hint="eastAsia" w:ascii="仿宋" w:hAnsi="仿宋" w:cs="仿宋"/>
          <w:bCs/>
          <w:sz w:val="28"/>
          <w:szCs w:val="28"/>
          <w:highlight w:val="none"/>
          <w:shd w:val="clear" w:color="auto" w:fill="FFFFFF"/>
          <w:lang w:val="en-US" w:eastAsia="zh-CN"/>
        </w:rPr>
        <w:tab/>
      </w:r>
      <w:r>
        <w:rPr>
          <w:rFonts w:hint="eastAsia" w:ascii="仿宋" w:hAnsi="仿宋" w:cs="仿宋"/>
          <w:bCs/>
          <w:sz w:val="28"/>
          <w:szCs w:val="28"/>
          <w:highlight w:val="none"/>
          <w:shd w:val="clear" w:color="auto" w:fill="FFFFFF"/>
          <w:lang w:val="en-US" w:eastAsia="zh-CN"/>
        </w:rPr>
        <w:t>涉VOCs企业监控：真实反馈与直观显示应企业在线情况、用电情况、报警情况等；</w:t>
      </w:r>
    </w:p>
    <w:p w14:paraId="284F0DAE">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b)</w:t>
      </w:r>
      <w:r>
        <w:rPr>
          <w:rFonts w:hint="eastAsia" w:ascii="仿宋" w:hAnsi="仿宋" w:cs="仿宋"/>
          <w:bCs/>
          <w:sz w:val="28"/>
          <w:szCs w:val="28"/>
          <w:highlight w:val="none"/>
          <w:shd w:val="clear" w:color="auto" w:fill="FFFFFF"/>
          <w:lang w:val="en-US" w:eastAsia="zh-CN"/>
        </w:rPr>
        <w:tab/>
      </w:r>
      <w:r>
        <w:rPr>
          <w:rFonts w:hint="eastAsia" w:ascii="仿宋" w:hAnsi="仿宋" w:cs="仿宋"/>
          <w:bCs/>
          <w:sz w:val="28"/>
          <w:szCs w:val="28"/>
          <w:highlight w:val="none"/>
          <w:shd w:val="clear" w:color="auto" w:fill="FFFFFF"/>
          <w:lang w:val="en-US" w:eastAsia="zh-CN"/>
        </w:rPr>
        <w:t>区域报警趋势：以图表可视化的形式展示区域内企业各类环境违法趋势；</w:t>
      </w:r>
    </w:p>
    <w:p w14:paraId="26BEB6E3">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c)</w:t>
      </w:r>
      <w:r>
        <w:rPr>
          <w:rFonts w:hint="eastAsia" w:ascii="仿宋" w:hAnsi="仿宋" w:cs="仿宋"/>
          <w:bCs/>
          <w:sz w:val="28"/>
          <w:szCs w:val="28"/>
          <w:highlight w:val="none"/>
          <w:shd w:val="clear" w:color="auto" w:fill="FFFFFF"/>
          <w:lang w:val="en-US" w:eastAsia="zh-CN"/>
        </w:rPr>
        <w:tab/>
      </w:r>
      <w:r>
        <w:rPr>
          <w:rFonts w:hint="eastAsia" w:ascii="仿宋" w:hAnsi="仿宋" w:cs="仿宋"/>
          <w:bCs/>
          <w:sz w:val="28"/>
          <w:szCs w:val="28"/>
          <w:highlight w:val="none"/>
          <w:shd w:val="clear" w:color="auto" w:fill="FFFFFF"/>
          <w:lang w:val="en-US" w:eastAsia="zh-CN"/>
        </w:rPr>
        <w:t>行业报警统计：按照企业所属行业为统计维度，直观展示各行业所占环境报警比重；</w:t>
      </w:r>
    </w:p>
    <w:p w14:paraId="1C429E94">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d)</w:t>
      </w:r>
      <w:r>
        <w:rPr>
          <w:rFonts w:hint="eastAsia" w:ascii="仿宋" w:hAnsi="仿宋" w:cs="仿宋"/>
          <w:bCs/>
          <w:sz w:val="28"/>
          <w:szCs w:val="28"/>
          <w:highlight w:val="none"/>
          <w:shd w:val="clear" w:color="auto" w:fill="FFFFFF"/>
          <w:lang w:val="en-US" w:eastAsia="zh-CN"/>
        </w:rPr>
        <w:tab/>
      </w:r>
      <w:r>
        <w:rPr>
          <w:rFonts w:hint="eastAsia" w:ascii="仿宋" w:hAnsi="仿宋" w:cs="仿宋"/>
          <w:bCs/>
          <w:sz w:val="28"/>
          <w:szCs w:val="28"/>
          <w:highlight w:val="none"/>
          <w:shd w:val="clear" w:color="auto" w:fill="FFFFFF"/>
          <w:lang w:val="en-US" w:eastAsia="zh-CN"/>
        </w:rPr>
        <w:t>环保空间地图：集合地图GIS技术整合企业地理信息，以地图空间的形式展示各企业得最新状态，如正常、离线、报警等。</w:t>
      </w:r>
    </w:p>
    <w:p w14:paraId="6C36A1F6">
      <w:pPr>
        <w:shd w:val="clear"/>
        <w:adjustRightInd w:val="0"/>
        <w:snapToGrid w:val="0"/>
        <w:spacing w:line="360" w:lineRule="auto"/>
        <w:jc w:val="left"/>
        <w:textAlignment w:val="baseline"/>
        <w:rPr>
          <w:rFonts w:hint="eastAsia" w:ascii="仿宋" w:hAnsi="仿宋" w:cs="仿宋"/>
          <w:bCs/>
          <w:sz w:val="28"/>
          <w:szCs w:val="28"/>
          <w:highlight w:val="none"/>
          <w:shd w:val="clear" w:color="auto" w:fill="FFFFFF"/>
          <w:lang w:val="en-US" w:eastAsia="zh-CN"/>
        </w:rPr>
      </w:pPr>
      <w:r>
        <w:rPr>
          <w:highlight w:val="none"/>
        </w:rPr>
        <w:drawing>
          <wp:inline distT="0" distB="0" distL="114300" distR="114300">
            <wp:extent cx="5335270" cy="2566670"/>
            <wp:effectExtent l="0" t="0" r="17780" b="508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2"/>
                    <a:stretch>
                      <a:fillRect/>
                    </a:stretch>
                  </pic:blipFill>
                  <pic:spPr>
                    <a:xfrm>
                      <a:off x="0" y="0"/>
                      <a:ext cx="5335270" cy="2566670"/>
                    </a:xfrm>
                    <a:prstGeom prst="rect">
                      <a:avLst/>
                    </a:prstGeom>
                    <a:noFill/>
                    <a:ln>
                      <a:noFill/>
                    </a:ln>
                  </pic:spPr>
                </pic:pic>
              </a:graphicData>
            </a:graphic>
          </wp:inline>
        </w:drawing>
      </w:r>
    </w:p>
    <w:p w14:paraId="6D5BC063">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一企一档：建立企业环保档案，详细记录企业基本信息、废气治理设施、排放情况、监管记录等，实现对企业环保数据的全面管理和查询。“一企一档”企业基本信息填报：企业基本信息应包括企业基本信息、治理设施信息、活性炭更换记录和监管基本信息。企业基本信息应包括社会信用代码、企业名称、行业、位置、详细地址、联系人、联系方式等。治理设施信息应包括设施名称、内部编号、废气处理工艺、废气处理设计风量、活性炭设计使用量、更换周期、经纬度以及证明图片等。</w:t>
      </w:r>
    </w:p>
    <w:p w14:paraId="60B527B9">
      <w:pPr>
        <w:shd w:val="clear"/>
        <w:adjustRightInd w:val="0"/>
        <w:snapToGrid w:val="0"/>
        <w:spacing w:line="360" w:lineRule="auto"/>
        <w:jc w:val="left"/>
        <w:textAlignment w:val="baseline"/>
        <w:rPr>
          <w:rFonts w:hint="eastAsia" w:ascii="仿宋" w:hAnsi="仿宋" w:cs="仿宋"/>
          <w:bCs/>
          <w:sz w:val="28"/>
          <w:szCs w:val="28"/>
          <w:highlight w:val="none"/>
          <w:shd w:val="clear" w:color="auto" w:fill="FFFFFF"/>
          <w:lang w:val="en-US" w:eastAsia="zh-CN"/>
        </w:rPr>
      </w:pPr>
      <w:r>
        <w:rPr>
          <w:highlight w:val="none"/>
        </w:rPr>
        <w:drawing>
          <wp:inline distT="0" distB="0" distL="114300" distR="114300">
            <wp:extent cx="5335270" cy="2566670"/>
            <wp:effectExtent l="0" t="0" r="17780" b="508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3"/>
                    <a:stretch>
                      <a:fillRect/>
                    </a:stretch>
                  </pic:blipFill>
                  <pic:spPr>
                    <a:xfrm>
                      <a:off x="0" y="0"/>
                      <a:ext cx="5335270" cy="2566670"/>
                    </a:xfrm>
                    <a:prstGeom prst="rect">
                      <a:avLst/>
                    </a:prstGeom>
                    <a:noFill/>
                    <a:ln>
                      <a:noFill/>
                    </a:ln>
                  </pic:spPr>
                </pic:pic>
              </a:graphicData>
            </a:graphic>
          </wp:inline>
        </w:drawing>
      </w:r>
    </w:p>
    <w:p w14:paraId="5573E4FC">
      <w:pPr>
        <w:shd w:val="clear"/>
        <w:adjustRightInd w:val="0"/>
        <w:snapToGrid w:val="0"/>
        <w:spacing w:line="360" w:lineRule="auto"/>
        <w:ind w:firstLine="560" w:firstLineChars="200"/>
        <w:jc w:val="left"/>
        <w:textAlignment w:val="baseline"/>
        <w:rPr>
          <w:rFonts w:hint="default"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数据中心：集中存储和管理系统数据，提供数据查询、统计、分析等功能，为环保管理提供数据支持。展示企业用电情况、核心工况过程数据、预警报警数据、预案信息、统计分析等。</w:t>
      </w:r>
    </w:p>
    <w:p w14:paraId="518402CC">
      <w:pPr>
        <w:shd w:val="clear"/>
        <w:adjustRightInd w:val="0"/>
        <w:snapToGrid w:val="0"/>
        <w:spacing w:line="360" w:lineRule="auto"/>
        <w:jc w:val="left"/>
        <w:textAlignment w:val="baseline"/>
        <w:rPr>
          <w:rFonts w:hint="eastAsia" w:ascii="仿宋" w:hAnsi="仿宋" w:cs="仿宋"/>
          <w:bCs/>
          <w:sz w:val="28"/>
          <w:szCs w:val="28"/>
          <w:highlight w:val="none"/>
          <w:shd w:val="clear" w:color="auto" w:fill="FFFFFF"/>
          <w:lang w:val="en-US" w:eastAsia="zh-CN"/>
        </w:rPr>
      </w:pPr>
      <w:r>
        <w:rPr>
          <w:highlight w:val="none"/>
        </w:rPr>
        <w:drawing>
          <wp:inline distT="0" distB="0" distL="114300" distR="114300">
            <wp:extent cx="5335270" cy="2566670"/>
            <wp:effectExtent l="0" t="0" r="17780" b="508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4"/>
                    <a:stretch>
                      <a:fillRect/>
                    </a:stretch>
                  </pic:blipFill>
                  <pic:spPr>
                    <a:xfrm>
                      <a:off x="0" y="0"/>
                      <a:ext cx="5335270" cy="2566670"/>
                    </a:xfrm>
                    <a:prstGeom prst="rect">
                      <a:avLst/>
                    </a:prstGeom>
                    <a:noFill/>
                    <a:ln>
                      <a:noFill/>
                    </a:ln>
                  </pic:spPr>
                </pic:pic>
              </a:graphicData>
            </a:graphic>
          </wp:inline>
        </w:drawing>
      </w:r>
    </w:p>
    <w:p w14:paraId="3CC6FEEF">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系统设置：包括用户管理、权限设置、系统配置、系统管理、企业管理、预案管理、执法管理等功能，确保系统的安全稳定运行。</w:t>
      </w:r>
    </w:p>
    <w:p w14:paraId="1E06F940">
      <w:pPr>
        <w:shd w:val="clear"/>
        <w:adjustRightInd w:val="0"/>
        <w:snapToGrid w:val="0"/>
        <w:spacing w:line="360" w:lineRule="auto"/>
        <w:jc w:val="left"/>
        <w:textAlignment w:val="baseline"/>
        <w:rPr>
          <w:rFonts w:hint="eastAsia" w:ascii="仿宋" w:hAnsi="仿宋" w:cs="仿宋"/>
          <w:bCs/>
          <w:sz w:val="28"/>
          <w:szCs w:val="28"/>
          <w:highlight w:val="none"/>
          <w:shd w:val="clear" w:color="auto" w:fill="FFFFFF"/>
          <w:lang w:val="en-US" w:eastAsia="zh-CN"/>
        </w:rPr>
      </w:pPr>
      <w:r>
        <w:rPr>
          <w:highlight w:val="none"/>
        </w:rPr>
        <w:drawing>
          <wp:inline distT="0" distB="0" distL="114300" distR="114300">
            <wp:extent cx="5335270" cy="2566670"/>
            <wp:effectExtent l="0" t="0" r="17780" b="508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5"/>
                    <a:stretch>
                      <a:fillRect/>
                    </a:stretch>
                  </pic:blipFill>
                  <pic:spPr>
                    <a:xfrm>
                      <a:off x="0" y="0"/>
                      <a:ext cx="5335270" cy="2566670"/>
                    </a:xfrm>
                    <a:prstGeom prst="rect">
                      <a:avLst/>
                    </a:prstGeom>
                    <a:noFill/>
                    <a:ln>
                      <a:noFill/>
                    </a:ln>
                  </pic:spPr>
                </pic:pic>
              </a:graphicData>
            </a:graphic>
          </wp:inline>
        </w:drawing>
      </w:r>
    </w:p>
    <w:p w14:paraId="5FAA1CFF">
      <w:pPr>
        <w:pStyle w:val="8"/>
        <w:keepNext w:val="0"/>
        <w:keepLines w:val="0"/>
        <w:pageBreakBefore w:val="0"/>
        <w:widowControl w:val="0"/>
        <w:shd w:val="clear"/>
        <w:kinsoku/>
        <w:wordWrap/>
        <w:overflowPunct/>
        <w:topLinePunct w:val="0"/>
        <w:autoSpaceDE/>
        <w:autoSpaceDN/>
        <w:bidi w:val="0"/>
        <w:adjustRightInd/>
        <w:snapToGrid/>
        <w:textAlignment w:val="auto"/>
        <w:outlineLvl w:val="4"/>
        <w:rPr>
          <w:rFonts w:hint="eastAsia" w:cs="Times New Roman"/>
          <w:b/>
          <w:bCs/>
          <w:sz w:val="28"/>
          <w:szCs w:val="21"/>
          <w:highlight w:val="none"/>
          <w:lang w:val="en-US" w:eastAsia="zh-CN"/>
        </w:rPr>
      </w:pPr>
      <w:r>
        <w:rPr>
          <w:rFonts w:hint="eastAsia" w:cs="Times New Roman"/>
          <w:b/>
          <w:bCs/>
          <w:sz w:val="28"/>
          <w:szCs w:val="21"/>
          <w:highlight w:val="none"/>
          <w:lang w:val="en-US" w:eastAsia="zh-CN"/>
        </w:rPr>
        <w:t>5.3.2.3功能应用介绍</w:t>
      </w:r>
    </w:p>
    <w:p w14:paraId="6EFDAFD9">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（1）治理设施精细化监管</w:t>
      </w:r>
    </w:p>
    <w:p w14:paraId="5D954D22">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通过实时监测和数据分析，对废气治理设施的运行状态、处理效果进行精细化监管，确保治理设施正常运行，达到排放标准。</w:t>
      </w:r>
    </w:p>
    <w:p w14:paraId="5FCE8AF8">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①污染防治设施擅自停运报警</w:t>
      </w:r>
    </w:p>
    <w:p w14:paraId="05B88DD7">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依据《大气污染防治法》相关条例，企业在生产经营活动中不得以任何理由擅自停运污染防治设施，经系统判定产污设施正常运行时（用电监控）与之对应的污染防治设施关键参数如温度、压力、功率异常时（工业感知）自动触发报警。</w:t>
      </w:r>
    </w:p>
    <w:p w14:paraId="66EB4CC5">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②污染防治设施治理效率低报警</w:t>
      </w:r>
    </w:p>
    <w:p w14:paraId="4B574820">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系统监测企业产污设施正常运行时（用电监控）与之对应的污染防治设施未达到有效去除环境时，如收集风机功率低、RTO燃烧室温度低、活性炭长期未更换等（工业感知）的，系统自动判定企业污染防治设施治理效率低，自动触发报警。</w:t>
      </w:r>
    </w:p>
    <w:p w14:paraId="64943AC9">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③治理设施收集率、去除率、同步率分析</w:t>
      </w:r>
    </w:p>
    <w:p w14:paraId="34190EDE">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治理设施的收集率、去除率和同步率分析是评估废气治理效果的关键指标，对于实现精细化监管至关重要。</w:t>
      </w:r>
    </w:p>
    <w:p w14:paraId="3B5874CB">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① 收集率分析</w:t>
      </w:r>
    </w:p>
    <w:p w14:paraId="3FF8A42D">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收集率是指治理设施对废气中污染物的收集能力。通过分析治理设施入口和出口的污染物浓度差异，可以计算出收集率。高收集率意味着治理设施能够有效地捕集废气中的污染物，为后续的处理步骤奠定良好基础。</w:t>
      </w:r>
    </w:p>
    <w:p w14:paraId="667350ED">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为了提高收集率，可以采取一系列措施，如优化治理设施的布局和结构，增加捕集面积，改善气流分布等。此外，定期对治理设施进行维护和清洁，确保其处于良好的工作状态，也是提高收集率的重要手段。</w:t>
      </w:r>
    </w:p>
    <w:p w14:paraId="2CB7DEDE">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② 去除率分析</w:t>
      </w:r>
    </w:p>
    <w:p w14:paraId="680B12D2">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去除率是指治理设施对捕集到的污染物进行处理的效率。通过分析治理设施出口处的污染物浓度，可以计算出去除率。高去除率表示治理设施能够有效地将污染物转化为无害物质或降低其浓度至达标水平。</w:t>
      </w:r>
    </w:p>
    <w:p w14:paraId="59206E67">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提高去除率的关键在于选择适当的治理技术和工艺，确保治理设施能够针对特定的污染物进行有效处理。同时，优化治理设施的运行参数和条件，如温度、压力、反应时间等，也可以提高去除率。</w:t>
      </w:r>
    </w:p>
    <w:p w14:paraId="47CC2AD5">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③ 同步率分析</w:t>
      </w:r>
    </w:p>
    <w:p w14:paraId="424CD5F3">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同步率是指治理设施与产污设施的运行同步性。通过分析治理设施和产污设施的用电数据或运行状态信息，可以判断它们是否同步运行。良好的同步率意味着治理设施能够在产污设施运行时及时启动并有效处理废气，避免污染物未经处理直接排放到环境中。</w:t>
      </w:r>
    </w:p>
    <w:p w14:paraId="34102591">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为了确保治理设施与产污设施的同步运行，可以建立联动机制，实现两者之间的自动控制。当产污设施启动时，治理设施应自动跟随启动；当产污设施停止运行时，治理设施也应相应停止。此外，加强现场监管和巡查，及时发现并解决同步运行中存在的问题，也是提高同步率的重要措施。</w:t>
      </w:r>
    </w:p>
    <w:p w14:paraId="42AA4A6E">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（2）重污染天气应急预案落实情况监管</w:t>
      </w:r>
    </w:p>
    <w:p w14:paraId="48B32AC7">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在重污染天气期间，系统对企业的应急预案执行情况进行实时监管，确保企业及时响应，有效应对。为响应《重污染天气重点行业应急减排措施制定技术指南》规定、差异管控措施的执行标准，系统提供企业应急预案（一厂一策）的管理与发布功能，并根据各企业一厂一策要求、差异化管控措施执行标准，自动甄别企业管控措施与应急预案落实情况，针对未落实、超期落实的企业自动触发报警。</w:t>
      </w:r>
    </w:p>
    <w:p w14:paraId="6531DD92">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（3）活性炭更换全链条监管</w:t>
      </w:r>
    </w:p>
    <w:p w14:paraId="105C1200">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针对区域产业结构的实际情况，活性炭的健康情况、吸附能力与更换情况全过程生命周期的监管极为重要，活性炭更换监管中心分别建设“企业活性炭电子档案”与“活性炭更换周期监控”功能。</w:t>
      </w:r>
    </w:p>
    <w:p w14:paraId="30C1E662">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企业活性炭电子档案，建立企业治污能力活性炭本底值管理，登记企业活性炭的种类、数量、吸附能力与更换时间，构建企业活性炭健康评估体系，并且作为企业活性炭全生命周期管理的重要数据支撑。</w:t>
      </w:r>
    </w:p>
    <w:p w14:paraId="5894BF5E">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活性炭更换周期监控，企业活性炭全生命周期式监管，根据企业涉VOCs工序运行时长、收集风机收集能力，实时评估活性炭更换周期，自动评价企业活性吸附能力、去除能力，针对长期未更换活性炭的企业自动生成报警推送，如企业涉污设施已连续运行10000小时（电量消耗10000kW.h）、收集风量已达10000m³时企业长期未更换活性炭时，自动清零活性炭吸附能力估值，报警推送企业活性炭需更换事件，提示企业及时更换活性炭或对活性炭进行脱附动作。</w:t>
      </w:r>
    </w:p>
    <w:p w14:paraId="1246C833">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活性炭处置跟踪，系统自动判定企业活性炭更换情况并登记企业废活性炭信息，避免企业擅自、违规处理废活性炭对生态环境造成二次污染（危固废污染），系统支持废活性炭转运申请、库存变更登记、处置方式登记等功能。</w:t>
      </w:r>
    </w:p>
    <w:p w14:paraId="15F09537">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（4）减排量精准核算管理</w:t>
      </w:r>
    </w:p>
    <w:p w14:paraId="6A84619B">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根据企业的废气排放数据和治理设施运行情况，精准核算企业的减排量，为环保政策制定提供科学依据。VOCs排放总量核算是对区域内所有企业挥发性有机物排放量进行汇总和统计的过程，旨在了解整个区域的VOCs排放情况，为制定更加精准的治理措施提供依据。通过收集各企业的排放数据，结合企业的生产情况和治理设施的运行情况，进行排放量的核算和统计，确保数据的准确性和可靠性。同时，通过对历史数据的分析和比较，可以了解VOCs排放量的变化趋势和影响因素，为制定更加有效的减排措施提供参考依据。</w:t>
      </w:r>
    </w:p>
    <w:p w14:paraId="3FBCDB13">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在核算过程中，应采用科学的方法和先进的技术手段，确保数据的准确性和可靠性。同时，还需要建立完善的数据管理系统，对数据进行存储、分析和应用，以便随时掌握区域内VOCs排放情况，及时发现问题和解决问题。此外，还应加强与企业的沟通和协作，推动企业积极参与减排工作，共同推动区域空气质量的改善。</w:t>
      </w:r>
    </w:p>
    <w:p w14:paraId="551DE84A">
      <w:pPr>
        <w:shd w:val="clear"/>
        <w:adjustRightInd w:val="0"/>
        <w:snapToGrid w:val="0"/>
        <w:spacing w:line="360" w:lineRule="auto"/>
        <w:ind w:firstLine="560" w:firstLineChars="200"/>
        <w:jc w:val="left"/>
        <w:textAlignment w:val="baseline"/>
        <w:rPr>
          <w:rFonts w:hint="default"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①排名分析</w:t>
      </w:r>
    </w:p>
    <w:p w14:paraId="55487099">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按照各企业挥发性有机物排放量进行排名，包括日排名、周排名、月排名等，以便及时了解各企业的排放情况，对排放量较高的企业进行重点关注和监管。</w:t>
      </w:r>
    </w:p>
    <w:p w14:paraId="43FB8031">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②排放趋势分析</w:t>
      </w:r>
    </w:p>
    <w:p w14:paraId="796255C5">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通过对各企业挥发性有机物排放量的历史数据进行统计和分析，展示各企业的排放趋势，做到及时发现排放异常的企业，进行排查和处理。</w:t>
      </w:r>
    </w:p>
    <w:p w14:paraId="54031861">
      <w:pPr>
        <w:shd w:val="clear"/>
        <w:adjustRightInd w:val="0"/>
        <w:snapToGrid w:val="0"/>
        <w:spacing w:line="360" w:lineRule="auto"/>
        <w:ind w:firstLine="560" w:firstLineChars="200"/>
        <w:jc w:val="left"/>
        <w:textAlignment w:val="baseline"/>
        <w:rPr>
          <w:rFonts w:hint="default"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③类比分析</w:t>
      </w:r>
    </w:p>
    <w:p w14:paraId="54424546">
      <w:pPr>
        <w:shd w:val="clear"/>
        <w:adjustRightInd w:val="0"/>
        <w:snapToGrid w:val="0"/>
        <w:spacing w:line="360" w:lineRule="auto"/>
        <w:ind w:firstLine="560" w:firstLineChars="200"/>
        <w:jc w:val="left"/>
        <w:textAlignment w:val="baseline"/>
        <w:rPr>
          <w:rFonts w:hint="default"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以排污单位和区域为单位进行同比、环比分析，展现其排污量的增加与减少，优化重点管控方向。</w:t>
      </w:r>
    </w:p>
    <w:p w14:paraId="10FFBFF9">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同类型企业、同区域企业污染排放情况的横向对比，帮助生态环境部门识别出排放异常的企业和区域，为制定更加精准的治理措施提供数据支持。</w:t>
      </w:r>
    </w:p>
    <w:p w14:paraId="3408458E">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（5）区域污染物排放总量控制</w:t>
      </w:r>
    </w:p>
    <w:p w14:paraId="67A88092">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通过对区域内企业排放数据的实时监控和统计，实现对区域污染物排放总量的控制，确保区域环境质量达到标准要求。</w:t>
      </w:r>
    </w:p>
    <w:p w14:paraId="1C18531C">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①智能减排分析</w:t>
      </w:r>
    </w:p>
    <w:p w14:paraId="2DBED753">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根据各区域的空气质量情况和减排目标，结合各企业的生产强度、产能可调控区间以及排污强度，进行智能减排分析，提出合理的减排建议，为制定减排措施提供参考依据。</w:t>
      </w:r>
    </w:p>
    <w:p w14:paraId="6A1F709A">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②智能减排分配</w:t>
      </w:r>
    </w:p>
    <w:p w14:paraId="59683F94">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根据区域内主要调控污染物指标，智能关联并分配减排任务给区域内排污企业。基于企业生产强度、产能可调控区间及排污强度，实现智能减排分析，确保“多排多限、少排少限、不排不限”的减排原则得到落实。同时，能提供减排考核依据，确保减排任务的有效执行。</w:t>
      </w:r>
    </w:p>
    <w:p w14:paraId="28AC8F86">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③差异化管控</w:t>
      </w:r>
    </w:p>
    <w:p w14:paraId="4A4EFCF3">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针对各企业的生产工艺和治理工艺，进行精细化管控，确保企业按照减排要求进行操作，并对企业的减排效果进行监测和评估，及时发现和解决问题，确保减排目标的顺利实现。</w:t>
      </w:r>
    </w:p>
    <w:p w14:paraId="7D77175D">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对分配减排指标的企业进行精细化管控，管控措施落实到企业生产工艺及治理工艺。通过实时监测企业排放数据，确保企业按照减排要求进行操作，对不符合减排要求的企业进行预警和提醒，及时督促企业进行整改。</w:t>
      </w:r>
    </w:p>
    <w:p w14:paraId="0C6EF59C">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④减排考核依据</w:t>
      </w:r>
    </w:p>
    <w:p w14:paraId="3592EBFA">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对各企业的减排情况进行考核和评价，提供必要的减排考核依据，对各企业的减排效果进行评估和奖惩提供依据，促进各企业积极参与减排工作，共同推动区域空气质量的改善。</w:t>
      </w:r>
    </w:p>
    <w:p w14:paraId="79206E30">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（6）513重点区域VOCs排放管控</w:t>
      </w:r>
    </w:p>
    <w:p w14:paraId="40A24C0E">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①重点企业监管</w:t>
      </w:r>
    </w:p>
    <w:p w14:paraId="023638FE">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在513重点区域内，系统将筛选出对VOCs排放贡献较大的企业，并支持设置更为严格的监管措施。这包括定期对企业的排放数据进行监测和分析，确保其符合环保标准。</w:t>
      </w:r>
    </w:p>
    <w:p w14:paraId="639BCB32">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对于不符合标准的企业，系统将及时发出预警，并发出提示通知，实现高效处理。同时，对于严重违反环保规定的企业，系统将建议诸如限制生产、罚款等适宜惩罚措施以供选择，以维护区域空气质量的稳定。</w:t>
      </w:r>
    </w:p>
    <w:p w14:paraId="5720CC15">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②重点区域监测</w:t>
      </w:r>
    </w:p>
    <w:p w14:paraId="40E194ED">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在513重点区域内，系统将加强对空气质量的监测和分析。系统能够实时获取区域内的空气质量数据和气象数据，并及时发现不易于污染物扩散、空气质量较差等异常情况。一旦监测或预测到以上异常情况，系统将立即启动应急响应机制，自行匹配管控措施，做到提前预警。</w:t>
      </w:r>
    </w:p>
    <w:p w14:paraId="79B48714">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③协同减排功能</w:t>
      </w:r>
    </w:p>
    <w:p w14:paraId="483EF945">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为了更有效地降低VOCs排放量，系统将推动各企业之间开展协同减排措施。通过共享减排经验和技术手段，企业可以相互借鉴和学习，共同提高减排效果。同时，系统还将鼓励企业之间进行合作，共同开发和应用新的减排技术，以推动整个区域的空气质量持续改善。</w:t>
      </w:r>
    </w:p>
    <w:p w14:paraId="2A2CC440">
      <w:pPr>
        <w:pStyle w:val="8"/>
        <w:keepNext w:val="0"/>
        <w:keepLines w:val="0"/>
        <w:pageBreakBefore w:val="0"/>
        <w:widowControl w:val="0"/>
        <w:shd w:val="clear"/>
        <w:kinsoku/>
        <w:wordWrap/>
        <w:overflowPunct/>
        <w:topLinePunct w:val="0"/>
        <w:autoSpaceDE/>
        <w:autoSpaceDN/>
        <w:bidi w:val="0"/>
        <w:adjustRightInd/>
        <w:snapToGrid/>
        <w:textAlignment w:val="auto"/>
        <w:outlineLvl w:val="4"/>
        <w:rPr>
          <w:rFonts w:hint="eastAsia" w:cs="Times New Roman"/>
          <w:b/>
          <w:bCs/>
          <w:sz w:val="28"/>
          <w:szCs w:val="21"/>
          <w:highlight w:val="none"/>
          <w:lang w:val="en-US" w:eastAsia="zh-CN"/>
        </w:rPr>
      </w:pPr>
      <w:r>
        <w:rPr>
          <w:rFonts w:hint="eastAsia" w:cs="Times New Roman"/>
          <w:b/>
          <w:bCs/>
          <w:sz w:val="28"/>
          <w:szCs w:val="21"/>
          <w:highlight w:val="none"/>
          <w:lang w:val="en-US" w:eastAsia="zh-CN"/>
        </w:rPr>
        <w:t>5.3.2.4数据接口</w:t>
      </w:r>
    </w:p>
    <w:p w14:paraId="3E8A0619">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提供数据接口，实现系统的数据交互和共享，确保数据的准确性和一致性。</w:t>
      </w:r>
    </w:p>
    <w:p w14:paraId="0E3794EB">
      <w:pPr>
        <w:pStyle w:val="8"/>
        <w:keepNext w:val="0"/>
        <w:keepLines w:val="0"/>
        <w:pageBreakBefore w:val="0"/>
        <w:widowControl w:val="0"/>
        <w:shd w:val="clear"/>
        <w:kinsoku/>
        <w:wordWrap/>
        <w:overflowPunct/>
        <w:topLinePunct w:val="0"/>
        <w:autoSpaceDE/>
        <w:autoSpaceDN/>
        <w:bidi w:val="0"/>
        <w:adjustRightInd/>
        <w:snapToGrid/>
        <w:textAlignment w:val="auto"/>
        <w:outlineLvl w:val="4"/>
        <w:rPr>
          <w:rFonts w:hint="eastAsia" w:cs="Times New Roman"/>
          <w:b/>
          <w:bCs/>
          <w:sz w:val="28"/>
          <w:szCs w:val="21"/>
          <w:highlight w:val="none"/>
          <w:lang w:val="en-US" w:eastAsia="zh-CN"/>
        </w:rPr>
      </w:pPr>
      <w:r>
        <w:rPr>
          <w:rFonts w:hint="eastAsia" w:cs="Times New Roman"/>
          <w:b/>
          <w:bCs/>
          <w:sz w:val="28"/>
          <w:szCs w:val="21"/>
          <w:highlight w:val="none"/>
          <w:lang w:val="en-US" w:eastAsia="zh-CN"/>
        </w:rPr>
        <w:t>5.3.2.5安全保障</w:t>
      </w:r>
    </w:p>
    <w:p w14:paraId="04713416">
      <w:pPr>
        <w:shd w:val="clear"/>
        <w:adjustRightInd w:val="0"/>
        <w:snapToGrid w:val="0"/>
        <w:spacing w:line="360" w:lineRule="auto"/>
        <w:ind w:firstLine="560" w:firstLineChars="200"/>
        <w:jc w:val="left"/>
        <w:textAlignment w:val="baseline"/>
        <w:rPr>
          <w:rFonts w:hint="eastAsia"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系统采用先进的网络安全技术和数据加密手段，确保数据的安全性和保密性。同时，系统具备完善的权限管理和审计功能，防止未经授权的访问和操作。</w:t>
      </w:r>
    </w:p>
    <w:p w14:paraId="47021BEE">
      <w:pPr>
        <w:shd w:val="clear"/>
        <w:adjustRightInd w:val="0"/>
        <w:snapToGrid w:val="0"/>
        <w:spacing w:line="360" w:lineRule="auto"/>
        <w:ind w:firstLine="560" w:firstLineChars="200"/>
        <w:jc w:val="left"/>
        <w:textAlignment w:val="baseline"/>
        <w:rPr>
          <w:rFonts w:hint="default" w:ascii="仿宋" w:hAnsi="仿宋" w:cs="仿宋"/>
          <w:bCs/>
          <w:sz w:val="28"/>
          <w:szCs w:val="28"/>
          <w:highlight w:val="none"/>
          <w:shd w:val="clear" w:color="auto" w:fill="FFFFFF"/>
          <w:lang w:val="en-US" w:eastAsia="zh-CN"/>
        </w:rPr>
      </w:pPr>
      <w:r>
        <w:rPr>
          <w:rFonts w:hint="eastAsia" w:ascii="仿宋" w:hAnsi="仿宋" w:cs="仿宋"/>
          <w:bCs/>
          <w:sz w:val="28"/>
          <w:szCs w:val="28"/>
          <w:highlight w:val="none"/>
          <w:shd w:val="clear" w:color="auto" w:fill="FFFFFF"/>
          <w:lang w:val="en-US" w:eastAsia="zh-CN"/>
        </w:rPr>
        <w:t>挥发性有机物排放智能管控子模块主要包含排放量排名、VOCs排放分时段控制、VOCs排放总量核算、513重点区域VOCs排放管控等组成。①排放量排名分别按照排污单位排量、各县区排量进行排名，通过排名明确排放重点单位、重点区域。②VOCs排放分时段控制将充分结合气象数据，支持高温时段、低温时段等分类管控设置，同时支持温度指标自动化管控设置，将管控措施按照时段内天气条件分解到每个单位、每台设备上；③VOCs排放总量核算是为保障VOCs排放监测数据质量，通过产污设备产污系数和治污设备去污系数折算污染物排放总量与实际排放量进行实时比对，从而做到提前发现环境隐患。④513重点区域VOCs排放管控是通过智能化管控513重点区域内涉VOCs排放企业的排放强度，实现动态错峰生产，从而保障区域内空气质量。</w:t>
      </w:r>
    </w:p>
    <w:p w14:paraId="5CAE9286">
      <w:pPr>
        <w:pStyle w:val="8"/>
        <w:keepNext w:val="0"/>
        <w:keepLines w:val="0"/>
        <w:pageBreakBefore w:val="0"/>
        <w:widowControl w:val="0"/>
        <w:shd w:val="clear"/>
        <w:kinsoku/>
        <w:wordWrap/>
        <w:overflowPunct/>
        <w:topLinePunct w:val="0"/>
        <w:autoSpaceDE/>
        <w:autoSpaceDN/>
        <w:bidi w:val="0"/>
        <w:adjustRightInd/>
        <w:snapToGrid/>
        <w:textAlignment w:val="auto"/>
        <w:outlineLvl w:val="1"/>
        <w:rPr>
          <w:rFonts w:hint="eastAsia" w:ascii="宋体" w:hAnsi="宋体" w:eastAsia="宋体" w:cs="宋体"/>
          <w:b/>
          <w:bCs/>
          <w:sz w:val="28"/>
          <w:szCs w:val="21"/>
          <w:highlight w:val="none"/>
          <w:lang w:val="en-US" w:eastAsia="zh-CN"/>
        </w:rPr>
      </w:pPr>
      <w:bookmarkStart w:id="33" w:name="_Toc28293"/>
      <w:r>
        <w:rPr>
          <w:rFonts w:hint="eastAsia" w:ascii="宋体" w:hAnsi="宋体" w:eastAsia="宋体" w:cs="宋体"/>
          <w:b/>
          <w:bCs/>
          <w:sz w:val="28"/>
          <w:szCs w:val="21"/>
          <w:highlight w:val="none"/>
          <w:lang w:val="en-US" w:eastAsia="zh-CN"/>
        </w:rPr>
        <w:t>5.4主要设备介绍</w:t>
      </w:r>
      <w:bookmarkEnd w:id="33"/>
    </w:p>
    <w:p w14:paraId="7205101C">
      <w:pPr>
        <w:pStyle w:val="8"/>
        <w:keepNext w:val="0"/>
        <w:keepLines w:val="0"/>
        <w:pageBreakBefore w:val="0"/>
        <w:widowControl w:val="0"/>
        <w:shd w:val="clear"/>
        <w:kinsoku/>
        <w:wordWrap/>
        <w:overflowPunct/>
        <w:topLinePunct w:val="0"/>
        <w:autoSpaceDE/>
        <w:autoSpaceDN/>
        <w:bidi w:val="0"/>
        <w:adjustRightInd/>
        <w:snapToGrid/>
        <w:textAlignment w:val="auto"/>
        <w:outlineLvl w:val="3"/>
        <w:rPr>
          <w:rFonts w:hint="eastAsia" w:asciiTheme="majorEastAsia" w:hAnsiTheme="majorEastAsia" w:eastAsiaTheme="majorEastAsia" w:cstheme="majorEastAsia"/>
          <w:b/>
          <w:bCs/>
          <w:sz w:val="28"/>
          <w:szCs w:val="21"/>
          <w:highlight w:val="none"/>
          <w:lang w:val="en-US" w:eastAsia="zh-CN"/>
        </w:rPr>
      </w:pPr>
      <w:r>
        <w:rPr>
          <w:rFonts w:hint="eastAsia" w:asciiTheme="majorEastAsia" w:hAnsiTheme="majorEastAsia" w:eastAsiaTheme="majorEastAsia" w:cstheme="majorEastAsia"/>
          <w:b/>
          <w:bCs/>
          <w:sz w:val="28"/>
          <w:szCs w:val="21"/>
          <w:highlight w:val="none"/>
          <w:lang w:val="en-US" w:eastAsia="zh-CN"/>
        </w:rPr>
        <w:t>5.4.1智能数据边缘计算采集站</w:t>
      </w:r>
    </w:p>
    <w:p w14:paraId="7C8A8BA4">
      <w:pPr>
        <w:shd w:val="clear"/>
        <w:tabs>
          <w:tab w:val="left" w:pos="1616"/>
        </w:tabs>
        <w:spacing w:line="360" w:lineRule="auto"/>
        <w:ind w:firstLine="560"/>
        <w:jc w:val="left"/>
        <w:rPr>
          <w:rFonts w:hint="eastAsia" w:asciiTheme="minorEastAsia" w:hAnsiTheme="minorEastAsia" w:cstheme="minorEastAsia"/>
          <w:b w:val="0"/>
          <w:kern w:val="2"/>
          <w:sz w:val="28"/>
          <w:szCs w:val="28"/>
          <w:highlight w:val="none"/>
          <w:lang w:val="en-US" w:eastAsia="zh-CN" w:bidi="ar-SA"/>
        </w:rPr>
      </w:pPr>
      <w:r>
        <w:rPr>
          <w:rFonts w:hint="eastAsia" w:asciiTheme="minorEastAsia" w:hAnsiTheme="minorEastAsia" w:cstheme="minorEastAsia"/>
          <w:b w:val="0"/>
          <w:kern w:val="2"/>
          <w:sz w:val="28"/>
          <w:szCs w:val="28"/>
          <w:highlight w:val="none"/>
          <w:lang w:val="en-US" w:eastAsia="zh-CN" w:bidi="ar-SA"/>
        </w:rPr>
        <w:t>（1）产品介绍</w:t>
      </w:r>
    </w:p>
    <w:p w14:paraId="262F6F22">
      <w:pPr>
        <w:shd w:val="clear"/>
        <w:tabs>
          <w:tab w:val="left" w:pos="1616"/>
        </w:tabs>
        <w:spacing w:line="360" w:lineRule="auto"/>
        <w:ind w:firstLine="560"/>
        <w:jc w:val="left"/>
        <w:rPr>
          <w:rFonts w:hint="eastAsia" w:asciiTheme="minorEastAsia" w:hAnsiTheme="minorEastAsia" w:cstheme="minorEastAsia"/>
          <w:b w:val="0"/>
          <w:kern w:val="2"/>
          <w:sz w:val="28"/>
          <w:szCs w:val="28"/>
          <w:highlight w:val="none"/>
          <w:lang w:val="en-US" w:eastAsia="zh-CN" w:bidi="ar-SA"/>
        </w:rPr>
      </w:pPr>
      <w:r>
        <w:rPr>
          <w:rFonts w:hint="eastAsia" w:asciiTheme="minorEastAsia" w:hAnsiTheme="minorEastAsia" w:cstheme="minorEastAsia"/>
          <w:b w:val="0"/>
          <w:kern w:val="2"/>
          <w:sz w:val="28"/>
          <w:szCs w:val="28"/>
          <w:highlight w:val="none"/>
          <w:lang w:val="en-US" w:eastAsia="zh-CN" w:bidi="ar-SA"/>
        </w:rPr>
        <w:t>智能数据边缘计算采集站是一款集数据采集、传输、存储、分析、控制于一体的智能化设备，广泛应用于化工、医疗、包装印刷、橡胶、塑料等涉VOCs排放行业。该设备具备高度的自动化和智能化特点，能够实现对工业源VOCs排放过程中各项关键参数的实时监测和精准管控，为涉VOCs工业源废气治理的运营管理提供有力的技术支持。</w:t>
      </w:r>
    </w:p>
    <w:p w14:paraId="4EEE7C81">
      <w:pPr>
        <w:shd w:val="clear"/>
        <w:tabs>
          <w:tab w:val="left" w:pos="1616"/>
        </w:tabs>
        <w:spacing w:line="360" w:lineRule="auto"/>
        <w:ind w:firstLine="560"/>
        <w:jc w:val="left"/>
        <w:rPr>
          <w:rFonts w:hint="eastAsia" w:asciiTheme="minorEastAsia" w:hAnsiTheme="minorEastAsia" w:cstheme="minorEastAsia"/>
          <w:b w:val="0"/>
          <w:kern w:val="2"/>
          <w:sz w:val="28"/>
          <w:szCs w:val="28"/>
          <w:highlight w:val="none"/>
          <w:lang w:val="en-US" w:eastAsia="zh-CN" w:bidi="ar-SA"/>
        </w:rPr>
      </w:pPr>
      <w:r>
        <w:rPr>
          <w:rFonts w:hint="eastAsia" w:asciiTheme="minorEastAsia" w:hAnsiTheme="minorEastAsia" w:cstheme="minorEastAsia"/>
          <w:b w:val="0"/>
          <w:kern w:val="2"/>
          <w:sz w:val="28"/>
          <w:szCs w:val="28"/>
          <w:highlight w:val="none"/>
          <w:lang w:val="en-US" w:eastAsia="zh-CN" w:bidi="ar-SA"/>
        </w:rPr>
        <w:t>智能数据边缘计算采集站采用先进的传感器技术和数据处理算法，能够实时监测工业源VOCs治理过程中的温度、压力、风速、浓度等关键参数，并将数据实时传输到系统进行分析和处理。通过对这些数据的实时监测和分析，可以及时发现工业源VOCs排放过程中存在的问题和异常情况，为运营管理人员提供及时的预警和决策支持。</w:t>
      </w:r>
    </w:p>
    <w:p w14:paraId="35DA1E31">
      <w:pPr>
        <w:shd w:val="clear"/>
        <w:tabs>
          <w:tab w:val="left" w:pos="1616"/>
        </w:tabs>
        <w:spacing w:line="360" w:lineRule="auto"/>
        <w:ind w:firstLine="560"/>
        <w:jc w:val="left"/>
        <w:rPr>
          <w:rFonts w:hint="eastAsia" w:asciiTheme="minorEastAsia" w:hAnsiTheme="minorEastAsia" w:cstheme="minorEastAsia"/>
          <w:b w:val="0"/>
          <w:kern w:val="2"/>
          <w:sz w:val="28"/>
          <w:szCs w:val="28"/>
          <w:highlight w:val="none"/>
          <w:lang w:val="en-US" w:eastAsia="zh-CN" w:bidi="ar-SA"/>
        </w:rPr>
      </w:pPr>
      <w:r>
        <w:rPr>
          <w:rFonts w:hint="eastAsia" w:asciiTheme="minorEastAsia" w:hAnsiTheme="minorEastAsia" w:cstheme="minorEastAsia"/>
          <w:b w:val="0"/>
          <w:kern w:val="2"/>
          <w:sz w:val="28"/>
          <w:szCs w:val="28"/>
          <w:highlight w:val="none"/>
          <w:lang w:val="en-US" w:eastAsia="zh-CN" w:bidi="ar-SA"/>
        </w:rPr>
        <w:t>此外，智能数据边缘计算采集站还具备远程控制功能，可以通过系统实现对生产、治理设备的远程控制和调节，实现对生产、治理过程的精准控制。同时，智能数据边缘计算采集站还具备数据存储和查询功能，可以长期保存生产、治理过程中的各项数据，方便运营管理人员进行数据分析和追溯。</w:t>
      </w:r>
    </w:p>
    <w:p w14:paraId="15C07C47">
      <w:pPr>
        <w:shd w:val="clear"/>
        <w:tabs>
          <w:tab w:val="left" w:pos="1616"/>
        </w:tabs>
        <w:spacing w:line="360" w:lineRule="auto"/>
        <w:ind w:firstLine="560"/>
        <w:jc w:val="left"/>
        <w:rPr>
          <w:rFonts w:hint="eastAsia" w:asciiTheme="minorEastAsia" w:hAnsiTheme="minorEastAsia" w:cstheme="minorEastAsia"/>
          <w:b w:val="0"/>
          <w:kern w:val="2"/>
          <w:sz w:val="28"/>
          <w:szCs w:val="28"/>
          <w:highlight w:val="none"/>
          <w:lang w:val="en-US" w:eastAsia="zh-CN" w:bidi="ar-SA"/>
        </w:rPr>
      </w:pPr>
      <w:r>
        <w:rPr>
          <w:rFonts w:hint="eastAsia" w:asciiTheme="minorEastAsia" w:hAnsiTheme="minorEastAsia" w:cstheme="minorEastAsia"/>
          <w:b w:val="0"/>
          <w:kern w:val="2"/>
          <w:sz w:val="28"/>
          <w:szCs w:val="28"/>
          <w:highlight w:val="none"/>
          <w:lang w:val="en-US" w:eastAsia="zh-CN" w:bidi="ar-SA"/>
        </w:rPr>
        <w:t>智能数据边缘计算采集站的应用，不仅可以提高涉VOCs工业源的运营效率和治理效果，还可以降低运营成本和维护成本，具有重要的经济意义和社会效益。同时，智能数据边缘计算采集站的应用也符合当前环保行业的发展趋势和政策要求，对于推动环保行业的可持续发展具有积极的促进作用。</w:t>
      </w:r>
    </w:p>
    <w:p w14:paraId="6561D0CE">
      <w:pPr>
        <w:shd w:val="clear"/>
        <w:tabs>
          <w:tab w:val="left" w:pos="1616"/>
        </w:tabs>
        <w:spacing w:line="360" w:lineRule="auto"/>
        <w:ind w:firstLine="560"/>
        <w:jc w:val="left"/>
        <w:rPr>
          <w:rFonts w:hint="default" w:asciiTheme="minorEastAsia" w:hAnsiTheme="minorEastAsia" w:cstheme="minorEastAsia"/>
          <w:b w:val="0"/>
          <w:kern w:val="2"/>
          <w:sz w:val="28"/>
          <w:szCs w:val="28"/>
          <w:highlight w:val="none"/>
          <w:lang w:val="en-US" w:eastAsia="zh-CN" w:bidi="ar-SA"/>
        </w:rPr>
      </w:pPr>
      <w:r>
        <w:rPr>
          <w:rFonts w:hint="eastAsia" w:asciiTheme="minorEastAsia" w:hAnsiTheme="minorEastAsia" w:cstheme="minorEastAsia"/>
          <w:b w:val="0"/>
          <w:kern w:val="2"/>
          <w:sz w:val="28"/>
          <w:szCs w:val="28"/>
          <w:highlight w:val="none"/>
          <w:lang w:val="en-US" w:eastAsia="zh-CN" w:bidi="ar-SA"/>
        </w:rPr>
        <w:t>总之，智能数据边缘计算采集站是一款高效、智能、可靠的环保设备，为涉VOCs工业源的运营管理提供了有力的技术支持和保障。随着环保行业的不断发展和进步，智能数据边缘计算采集站的应用前景将会更加广阔。</w:t>
      </w:r>
    </w:p>
    <w:p w14:paraId="5B0425FA">
      <w:pPr>
        <w:shd w:val="clear"/>
        <w:tabs>
          <w:tab w:val="left" w:pos="1616"/>
        </w:tabs>
        <w:spacing w:line="360" w:lineRule="auto"/>
        <w:ind w:firstLine="560"/>
        <w:jc w:val="left"/>
        <w:rPr>
          <w:rFonts w:hint="default" w:asciiTheme="minorEastAsia" w:hAnsiTheme="minorEastAsia" w:eastAsiaTheme="minorEastAsia" w:cstheme="minorEastAsia"/>
          <w:b w:val="0"/>
          <w:kern w:val="2"/>
          <w:sz w:val="28"/>
          <w:szCs w:val="28"/>
          <w:highlight w:val="none"/>
          <w:lang w:val="en-US" w:eastAsia="zh-CN" w:bidi="ar-SA"/>
        </w:rPr>
      </w:pPr>
      <w:r>
        <w:rPr>
          <w:rFonts w:hint="eastAsia" w:asciiTheme="minorEastAsia" w:hAnsiTheme="minorEastAsia" w:cstheme="minorEastAsia"/>
          <w:b w:val="0"/>
          <w:kern w:val="2"/>
          <w:sz w:val="28"/>
          <w:szCs w:val="28"/>
          <w:highlight w:val="none"/>
          <w:lang w:val="en-US" w:eastAsia="zh-CN" w:bidi="ar-SA"/>
        </w:rPr>
        <w:t>（2）主要技术参数</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5"/>
        <w:gridCol w:w="5992"/>
      </w:tblGrid>
      <w:tr w14:paraId="647E0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27" w:type="pct"/>
            <w:shd w:val="clear" w:color="auto" w:fill="auto"/>
            <w:noWrap/>
            <w:vAlign w:val="center"/>
          </w:tcPr>
          <w:p w14:paraId="6C612922">
            <w:pPr>
              <w:keepNext w:val="0"/>
              <w:keepLines w:val="0"/>
              <w:pageBreakBefore w:val="0"/>
              <w:widowControl/>
              <w:shd w:val="clear"/>
              <w:kinsoku/>
              <w:wordWrap/>
              <w:overflowPunct/>
              <w:topLinePunct w:val="0"/>
              <w:autoSpaceDE/>
              <w:autoSpaceDN/>
              <w:bidi w:val="0"/>
              <w:adjustRightInd/>
              <w:snapToGrid/>
              <w:ind w:firstLine="0"/>
              <w:jc w:val="center"/>
              <w:textAlignment w:val="center"/>
              <w:rPr>
                <w:rFonts w:hint="default" w:eastAsiaTheme="minorEastAsia"/>
                <w:color w:val="000000"/>
                <w:kern w:val="0"/>
                <w:sz w:val="28"/>
                <w:szCs w:val="28"/>
                <w:highlight w:val="none"/>
                <w:lang w:val="en-US" w:eastAsia="zh-CN" w:bidi="ar"/>
              </w:rPr>
            </w:pPr>
            <w:r>
              <w:rPr>
                <w:rFonts w:hint="eastAsia"/>
                <w:color w:val="000000"/>
                <w:kern w:val="0"/>
                <w:sz w:val="28"/>
                <w:szCs w:val="28"/>
                <w:highlight w:val="none"/>
                <w:lang w:val="en-US" w:eastAsia="zh-CN" w:bidi="ar"/>
              </w:rPr>
              <w:t>项目名称</w:t>
            </w:r>
          </w:p>
        </w:tc>
        <w:tc>
          <w:tcPr>
            <w:tcW w:w="3472" w:type="pct"/>
            <w:shd w:val="clear" w:color="auto" w:fill="auto"/>
            <w:vAlign w:val="center"/>
          </w:tcPr>
          <w:p w14:paraId="47C53B77">
            <w:pPr>
              <w:keepNext w:val="0"/>
              <w:keepLines w:val="0"/>
              <w:pageBreakBefore w:val="0"/>
              <w:widowControl/>
              <w:shd w:val="clear"/>
              <w:kinsoku/>
              <w:wordWrap/>
              <w:overflowPunct/>
              <w:topLinePunct w:val="0"/>
              <w:autoSpaceDE/>
              <w:autoSpaceDN/>
              <w:bidi w:val="0"/>
              <w:adjustRightInd/>
              <w:snapToGrid/>
              <w:ind w:firstLine="0"/>
              <w:jc w:val="center"/>
              <w:textAlignment w:val="center"/>
              <w:rPr>
                <w:rFonts w:hint="default" w:eastAsiaTheme="minorEastAsia"/>
                <w:color w:val="000000"/>
                <w:kern w:val="0"/>
                <w:sz w:val="28"/>
                <w:szCs w:val="28"/>
                <w:highlight w:val="none"/>
                <w:lang w:val="en-US" w:eastAsia="zh-CN" w:bidi="ar"/>
              </w:rPr>
            </w:pPr>
            <w:r>
              <w:rPr>
                <w:rFonts w:hint="eastAsia"/>
                <w:color w:val="000000"/>
                <w:kern w:val="0"/>
                <w:sz w:val="28"/>
                <w:szCs w:val="28"/>
                <w:highlight w:val="none"/>
                <w:lang w:val="en-US" w:eastAsia="zh-CN" w:bidi="ar"/>
              </w:rPr>
              <w:t>参数指标</w:t>
            </w:r>
          </w:p>
        </w:tc>
      </w:tr>
      <w:tr w14:paraId="4C8C4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27" w:type="pct"/>
            <w:shd w:val="clear" w:color="auto" w:fill="auto"/>
            <w:noWrap/>
            <w:vAlign w:val="center"/>
          </w:tcPr>
          <w:p w14:paraId="73AECBAC">
            <w:pPr>
              <w:keepNext w:val="0"/>
              <w:keepLines w:val="0"/>
              <w:pageBreakBefore w:val="0"/>
              <w:widowControl/>
              <w:shd w:val="clear"/>
              <w:kinsoku/>
              <w:wordWrap/>
              <w:overflowPunct/>
              <w:topLinePunct w:val="0"/>
              <w:autoSpaceDE/>
              <w:autoSpaceDN/>
              <w:bidi w:val="0"/>
              <w:adjustRightInd/>
              <w:snapToGrid/>
              <w:ind w:firstLine="0"/>
              <w:jc w:val="center"/>
              <w:textAlignment w:val="center"/>
              <w:rPr>
                <w:color w:val="000000"/>
                <w:sz w:val="28"/>
                <w:szCs w:val="28"/>
                <w:highlight w:val="none"/>
              </w:rPr>
            </w:pPr>
            <w:r>
              <w:rPr>
                <w:rFonts w:hint="eastAsia"/>
                <w:color w:val="000000"/>
                <w:kern w:val="0"/>
                <w:sz w:val="28"/>
                <w:szCs w:val="28"/>
                <w:highlight w:val="none"/>
                <w:lang w:bidi="ar"/>
              </w:rPr>
              <w:t>核心系统</w:t>
            </w:r>
          </w:p>
        </w:tc>
        <w:tc>
          <w:tcPr>
            <w:tcW w:w="3472" w:type="pct"/>
            <w:shd w:val="clear" w:color="auto" w:fill="auto"/>
            <w:vAlign w:val="center"/>
          </w:tcPr>
          <w:p w14:paraId="4A34394F">
            <w:pPr>
              <w:keepNext w:val="0"/>
              <w:keepLines w:val="0"/>
              <w:pageBreakBefore w:val="0"/>
              <w:widowControl/>
              <w:shd w:val="clear"/>
              <w:kinsoku/>
              <w:wordWrap/>
              <w:overflowPunct/>
              <w:topLinePunct w:val="0"/>
              <w:autoSpaceDE/>
              <w:autoSpaceDN/>
              <w:bidi w:val="0"/>
              <w:adjustRightInd/>
              <w:snapToGrid/>
              <w:ind w:firstLine="0"/>
              <w:jc w:val="left"/>
              <w:textAlignment w:val="center"/>
              <w:rPr>
                <w:rFonts w:hint="eastAsia"/>
                <w:color w:val="000000"/>
                <w:kern w:val="0"/>
                <w:sz w:val="28"/>
                <w:szCs w:val="28"/>
                <w:highlight w:val="none"/>
                <w:lang w:bidi="ar"/>
              </w:rPr>
            </w:pPr>
            <w:r>
              <w:rPr>
                <w:rFonts w:hint="eastAsia"/>
                <w:color w:val="000000"/>
                <w:kern w:val="0"/>
                <w:sz w:val="28"/>
                <w:szCs w:val="28"/>
                <w:highlight w:val="none"/>
                <w:lang w:bidi="ar"/>
              </w:rPr>
              <w:t>1、处理器：X86架构，2GHZ频率</w:t>
            </w:r>
          </w:p>
          <w:p w14:paraId="687E5CC3">
            <w:pPr>
              <w:keepNext w:val="0"/>
              <w:keepLines w:val="0"/>
              <w:pageBreakBefore w:val="0"/>
              <w:widowControl/>
              <w:shd w:val="clear"/>
              <w:kinsoku/>
              <w:wordWrap/>
              <w:overflowPunct/>
              <w:topLinePunct w:val="0"/>
              <w:autoSpaceDE/>
              <w:autoSpaceDN/>
              <w:bidi w:val="0"/>
              <w:adjustRightInd/>
              <w:snapToGrid/>
              <w:ind w:firstLine="0"/>
              <w:jc w:val="left"/>
              <w:textAlignment w:val="center"/>
              <w:rPr>
                <w:rFonts w:hint="eastAsia"/>
                <w:color w:val="000000"/>
                <w:kern w:val="0"/>
                <w:sz w:val="28"/>
                <w:szCs w:val="28"/>
                <w:highlight w:val="none"/>
                <w:lang w:bidi="ar"/>
              </w:rPr>
            </w:pPr>
            <w:r>
              <w:rPr>
                <w:rFonts w:hint="eastAsia"/>
                <w:color w:val="000000"/>
                <w:kern w:val="0"/>
                <w:sz w:val="28"/>
                <w:szCs w:val="28"/>
                <w:highlight w:val="none"/>
                <w:lang w:bidi="ar"/>
              </w:rPr>
              <w:t>2、操作系统：windows7</w:t>
            </w:r>
          </w:p>
          <w:p w14:paraId="0EC1D934">
            <w:pPr>
              <w:keepNext w:val="0"/>
              <w:keepLines w:val="0"/>
              <w:pageBreakBefore w:val="0"/>
              <w:widowControl/>
              <w:shd w:val="clear"/>
              <w:kinsoku/>
              <w:wordWrap/>
              <w:overflowPunct/>
              <w:topLinePunct w:val="0"/>
              <w:autoSpaceDE/>
              <w:autoSpaceDN/>
              <w:bidi w:val="0"/>
              <w:adjustRightInd/>
              <w:snapToGrid/>
              <w:ind w:firstLine="0"/>
              <w:jc w:val="left"/>
              <w:textAlignment w:val="center"/>
              <w:rPr>
                <w:rFonts w:hint="eastAsia"/>
                <w:color w:val="000000"/>
                <w:kern w:val="0"/>
                <w:sz w:val="28"/>
                <w:szCs w:val="28"/>
                <w:highlight w:val="none"/>
                <w:lang w:bidi="ar"/>
              </w:rPr>
            </w:pPr>
            <w:r>
              <w:rPr>
                <w:rFonts w:hint="eastAsia"/>
                <w:color w:val="000000"/>
                <w:kern w:val="0"/>
                <w:sz w:val="28"/>
                <w:szCs w:val="28"/>
                <w:highlight w:val="none"/>
                <w:lang w:bidi="ar"/>
              </w:rPr>
              <w:t>3、内存：8G</w:t>
            </w:r>
          </w:p>
          <w:p w14:paraId="7131C37E">
            <w:pPr>
              <w:keepNext w:val="0"/>
              <w:keepLines w:val="0"/>
              <w:pageBreakBefore w:val="0"/>
              <w:widowControl/>
              <w:shd w:val="clear"/>
              <w:kinsoku/>
              <w:wordWrap/>
              <w:overflowPunct/>
              <w:topLinePunct w:val="0"/>
              <w:autoSpaceDE/>
              <w:autoSpaceDN/>
              <w:bidi w:val="0"/>
              <w:adjustRightInd/>
              <w:snapToGrid/>
              <w:ind w:firstLine="0"/>
              <w:jc w:val="left"/>
              <w:textAlignment w:val="center"/>
              <w:rPr>
                <w:rFonts w:hint="eastAsia"/>
                <w:color w:val="000000"/>
                <w:kern w:val="0"/>
                <w:sz w:val="28"/>
                <w:szCs w:val="28"/>
                <w:highlight w:val="none"/>
                <w:lang w:bidi="ar"/>
              </w:rPr>
            </w:pPr>
            <w:r>
              <w:rPr>
                <w:rFonts w:hint="eastAsia"/>
                <w:color w:val="000000"/>
                <w:kern w:val="0"/>
                <w:sz w:val="28"/>
                <w:szCs w:val="28"/>
                <w:highlight w:val="none"/>
                <w:lang w:bidi="ar"/>
              </w:rPr>
              <w:t>4、硬盘：256GB</w:t>
            </w:r>
          </w:p>
          <w:p w14:paraId="772EDF94">
            <w:pPr>
              <w:keepNext w:val="0"/>
              <w:keepLines w:val="0"/>
              <w:pageBreakBefore w:val="0"/>
              <w:widowControl/>
              <w:shd w:val="clear"/>
              <w:kinsoku/>
              <w:wordWrap/>
              <w:overflowPunct/>
              <w:topLinePunct w:val="0"/>
              <w:autoSpaceDE/>
              <w:autoSpaceDN/>
              <w:bidi w:val="0"/>
              <w:adjustRightInd/>
              <w:snapToGrid/>
              <w:ind w:firstLine="0"/>
              <w:jc w:val="left"/>
              <w:textAlignment w:val="center"/>
              <w:rPr>
                <w:color w:val="000000"/>
                <w:sz w:val="28"/>
                <w:szCs w:val="28"/>
                <w:highlight w:val="none"/>
              </w:rPr>
            </w:pPr>
            <w:r>
              <w:rPr>
                <w:rFonts w:hint="eastAsia"/>
                <w:color w:val="000000"/>
                <w:kern w:val="0"/>
                <w:sz w:val="28"/>
                <w:szCs w:val="28"/>
                <w:highlight w:val="none"/>
                <w:lang w:bidi="ar"/>
              </w:rPr>
              <w:t>5、屏幕：8寸触摸屏</w:t>
            </w:r>
          </w:p>
        </w:tc>
      </w:tr>
      <w:tr w14:paraId="07AC6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27" w:type="pct"/>
            <w:shd w:val="clear" w:color="auto" w:fill="auto"/>
            <w:noWrap/>
            <w:vAlign w:val="center"/>
          </w:tcPr>
          <w:p w14:paraId="4DB4EB1E">
            <w:pPr>
              <w:keepNext w:val="0"/>
              <w:keepLines w:val="0"/>
              <w:pageBreakBefore w:val="0"/>
              <w:widowControl/>
              <w:shd w:val="clear"/>
              <w:kinsoku/>
              <w:wordWrap/>
              <w:overflowPunct/>
              <w:topLinePunct w:val="0"/>
              <w:autoSpaceDE/>
              <w:autoSpaceDN/>
              <w:bidi w:val="0"/>
              <w:adjustRightInd/>
              <w:snapToGrid/>
              <w:ind w:firstLine="0"/>
              <w:jc w:val="center"/>
              <w:textAlignment w:val="center"/>
              <w:rPr>
                <w:color w:val="000000"/>
                <w:sz w:val="28"/>
                <w:szCs w:val="28"/>
                <w:highlight w:val="none"/>
              </w:rPr>
            </w:pPr>
            <w:r>
              <w:rPr>
                <w:rFonts w:hint="eastAsia"/>
                <w:color w:val="000000"/>
                <w:kern w:val="0"/>
                <w:sz w:val="28"/>
                <w:szCs w:val="28"/>
                <w:highlight w:val="none"/>
                <w:lang w:bidi="ar"/>
              </w:rPr>
              <w:t>业务功能</w:t>
            </w:r>
          </w:p>
        </w:tc>
        <w:tc>
          <w:tcPr>
            <w:tcW w:w="3472" w:type="pct"/>
            <w:shd w:val="clear" w:color="auto" w:fill="auto"/>
            <w:vAlign w:val="center"/>
          </w:tcPr>
          <w:p w14:paraId="1B49E343">
            <w:pPr>
              <w:keepNext w:val="0"/>
              <w:keepLines w:val="0"/>
              <w:pageBreakBefore w:val="0"/>
              <w:widowControl/>
              <w:shd w:val="clear"/>
              <w:kinsoku/>
              <w:wordWrap/>
              <w:overflowPunct/>
              <w:topLinePunct w:val="0"/>
              <w:autoSpaceDE/>
              <w:autoSpaceDN/>
              <w:bidi w:val="0"/>
              <w:adjustRightInd/>
              <w:snapToGrid/>
              <w:ind w:firstLine="0"/>
              <w:jc w:val="left"/>
              <w:textAlignment w:val="center"/>
              <w:rPr>
                <w:rFonts w:hint="eastAsia"/>
                <w:color w:val="000000"/>
                <w:kern w:val="0"/>
                <w:sz w:val="28"/>
                <w:szCs w:val="28"/>
                <w:highlight w:val="none"/>
                <w:lang w:bidi="ar"/>
              </w:rPr>
            </w:pPr>
            <w:r>
              <w:rPr>
                <w:rFonts w:hint="eastAsia"/>
                <w:color w:val="000000"/>
                <w:kern w:val="0"/>
                <w:sz w:val="28"/>
                <w:szCs w:val="28"/>
                <w:highlight w:val="none"/>
                <w:lang w:bidi="ar"/>
              </w:rPr>
              <w:t>1、工业数据采集：支持工业控制场景下的多种数据采集，包括模拟量、开关量、Modbus、OPCDA、FMTCP、S7TCP协议</w:t>
            </w:r>
          </w:p>
          <w:p w14:paraId="2BE9FACB">
            <w:pPr>
              <w:keepNext w:val="0"/>
              <w:keepLines w:val="0"/>
              <w:pageBreakBefore w:val="0"/>
              <w:widowControl/>
              <w:shd w:val="clear"/>
              <w:kinsoku/>
              <w:wordWrap/>
              <w:overflowPunct/>
              <w:topLinePunct w:val="0"/>
              <w:autoSpaceDE/>
              <w:autoSpaceDN/>
              <w:bidi w:val="0"/>
              <w:adjustRightInd/>
              <w:snapToGrid/>
              <w:ind w:firstLine="0"/>
              <w:jc w:val="left"/>
              <w:textAlignment w:val="center"/>
              <w:rPr>
                <w:rFonts w:hint="eastAsia"/>
                <w:color w:val="000000"/>
                <w:kern w:val="0"/>
                <w:sz w:val="28"/>
                <w:szCs w:val="28"/>
                <w:highlight w:val="none"/>
                <w:lang w:bidi="ar"/>
              </w:rPr>
            </w:pPr>
            <w:r>
              <w:rPr>
                <w:rFonts w:hint="eastAsia"/>
                <w:color w:val="000000"/>
                <w:kern w:val="0"/>
                <w:sz w:val="28"/>
                <w:szCs w:val="28"/>
                <w:highlight w:val="none"/>
                <w:lang w:bidi="ar"/>
              </w:rPr>
              <w:t>2、支持历史数据存储，并同时支持折线图查看与列表查看，支持时间段及查询条件的筛选</w:t>
            </w:r>
          </w:p>
          <w:p w14:paraId="05B1D1D3">
            <w:pPr>
              <w:keepNext w:val="0"/>
              <w:keepLines w:val="0"/>
              <w:pageBreakBefore w:val="0"/>
              <w:widowControl/>
              <w:shd w:val="clear"/>
              <w:kinsoku/>
              <w:wordWrap/>
              <w:overflowPunct/>
              <w:topLinePunct w:val="0"/>
              <w:autoSpaceDE/>
              <w:autoSpaceDN/>
              <w:bidi w:val="0"/>
              <w:adjustRightInd/>
              <w:snapToGrid/>
              <w:ind w:firstLine="0"/>
              <w:jc w:val="left"/>
              <w:textAlignment w:val="center"/>
              <w:rPr>
                <w:rFonts w:hint="eastAsia"/>
                <w:color w:val="000000"/>
                <w:kern w:val="0"/>
                <w:sz w:val="28"/>
                <w:szCs w:val="28"/>
                <w:highlight w:val="none"/>
                <w:lang w:bidi="ar"/>
              </w:rPr>
            </w:pPr>
            <w:r>
              <w:rPr>
                <w:rFonts w:hint="eastAsia"/>
                <w:color w:val="000000"/>
                <w:kern w:val="0"/>
                <w:sz w:val="28"/>
                <w:szCs w:val="28"/>
                <w:highlight w:val="none"/>
                <w:lang w:bidi="ar"/>
              </w:rPr>
              <w:t>3、数据计算：支持采集数据的本地计算</w:t>
            </w:r>
          </w:p>
          <w:p w14:paraId="0C30B23D">
            <w:pPr>
              <w:keepNext w:val="0"/>
              <w:keepLines w:val="0"/>
              <w:pageBreakBefore w:val="0"/>
              <w:widowControl/>
              <w:shd w:val="clear"/>
              <w:kinsoku/>
              <w:wordWrap/>
              <w:overflowPunct/>
              <w:topLinePunct w:val="0"/>
              <w:autoSpaceDE/>
              <w:autoSpaceDN/>
              <w:bidi w:val="0"/>
              <w:adjustRightInd/>
              <w:snapToGrid/>
              <w:ind w:firstLine="0"/>
              <w:jc w:val="left"/>
              <w:textAlignment w:val="center"/>
              <w:rPr>
                <w:rFonts w:hint="eastAsia"/>
                <w:color w:val="000000"/>
                <w:kern w:val="0"/>
                <w:sz w:val="28"/>
                <w:szCs w:val="28"/>
                <w:highlight w:val="none"/>
                <w:lang w:bidi="ar"/>
              </w:rPr>
            </w:pPr>
            <w:r>
              <w:rPr>
                <w:rFonts w:hint="eastAsia"/>
                <w:color w:val="000000"/>
                <w:kern w:val="0"/>
                <w:sz w:val="28"/>
                <w:szCs w:val="28"/>
                <w:highlight w:val="none"/>
                <w:lang w:bidi="ar"/>
              </w:rPr>
              <w:t>4、数据联网：支持采集数据到互联网端的链路传输</w:t>
            </w:r>
          </w:p>
          <w:p w14:paraId="0A43522B">
            <w:pPr>
              <w:keepNext w:val="0"/>
              <w:keepLines w:val="0"/>
              <w:pageBreakBefore w:val="0"/>
              <w:widowControl/>
              <w:shd w:val="clear"/>
              <w:kinsoku/>
              <w:wordWrap/>
              <w:overflowPunct/>
              <w:topLinePunct w:val="0"/>
              <w:autoSpaceDE/>
              <w:autoSpaceDN/>
              <w:bidi w:val="0"/>
              <w:adjustRightInd/>
              <w:snapToGrid/>
              <w:ind w:firstLine="0"/>
              <w:jc w:val="left"/>
              <w:textAlignment w:val="center"/>
              <w:rPr>
                <w:color w:val="000000"/>
                <w:sz w:val="28"/>
                <w:szCs w:val="28"/>
                <w:highlight w:val="none"/>
              </w:rPr>
            </w:pPr>
            <w:r>
              <w:rPr>
                <w:rFonts w:hint="eastAsia"/>
                <w:color w:val="000000"/>
                <w:kern w:val="0"/>
                <w:sz w:val="28"/>
                <w:szCs w:val="28"/>
                <w:highlight w:val="none"/>
                <w:lang w:bidi="ar"/>
              </w:rPr>
              <w:t>5、MESH组网：支持基于无线传输的MESH组网功能；</w:t>
            </w:r>
          </w:p>
        </w:tc>
      </w:tr>
      <w:tr w14:paraId="50F70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27" w:type="pct"/>
            <w:shd w:val="clear" w:color="auto" w:fill="auto"/>
            <w:noWrap/>
            <w:vAlign w:val="center"/>
          </w:tcPr>
          <w:p w14:paraId="632B8043">
            <w:pPr>
              <w:keepNext w:val="0"/>
              <w:keepLines w:val="0"/>
              <w:pageBreakBefore w:val="0"/>
              <w:widowControl/>
              <w:shd w:val="clear"/>
              <w:kinsoku/>
              <w:wordWrap/>
              <w:overflowPunct/>
              <w:topLinePunct w:val="0"/>
              <w:autoSpaceDE/>
              <w:autoSpaceDN/>
              <w:bidi w:val="0"/>
              <w:adjustRightInd/>
              <w:snapToGrid/>
              <w:ind w:firstLine="0"/>
              <w:jc w:val="center"/>
              <w:textAlignment w:val="center"/>
              <w:rPr>
                <w:color w:val="000000"/>
                <w:sz w:val="28"/>
                <w:szCs w:val="28"/>
                <w:highlight w:val="none"/>
              </w:rPr>
            </w:pPr>
            <w:r>
              <w:rPr>
                <w:rFonts w:hint="eastAsia"/>
                <w:color w:val="000000"/>
                <w:kern w:val="0"/>
                <w:sz w:val="28"/>
                <w:szCs w:val="28"/>
                <w:highlight w:val="none"/>
                <w:lang w:bidi="ar"/>
              </w:rPr>
              <w:t>采集、输出单元</w:t>
            </w:r>
          </w:p>
        </w:tc>
        <w:tc>
          <w:tcPr>
            <w:tcW w:w="3472" w:type="pct"/>
            <w:shd w:val="clear" w:color="auto" w:fill="auto"/>
            <w:vAlign w:val="center"/>
          </w:tcPr>
          <w:p w14:paraId="0E4ED90D">
            <w:pPr>
              <w:keepNext w:val="0"/>
              <w:keepLines w:val="0"/>
              <w:pageBreakBefore w:val="0"/>
              <w:widowControl/>
              <w:shd w:val="clear"/>
              <w:kinsoku/>
              <w:wordWrap/>
              <w:overflowPunct/>
              <w:topLinePunct w:val="0"/>
              <w:autoSpaceDE/>
              <w:autoSpaceDN/>
              <w:bidi w:val="0"/>
              <w:adjustRightInd/>
              <w:snapToGrid/>
              <w:ind w:firstLine="0"/>
              <w:jc w:val="left"/>
              <w:textAlignment w:val="center"/>
              <w:rPr>
                <w:rFonts w:hint="eastAsia"/>
                <w:color w:val="000000"/>
                <w:kern w:val="0"/>
                <w:sz w:val="28"/>
                <w:szCs w:val="28"/>
                <w:highlight w:val="none"/>
                <w:lang w:bidi="ar"/>
              </w:rPr>
            </w:pPr>
            <w:r>
              <w:rPr>
                <w:rFonts w:hint="eastAsia"/>
                <w:color w:val="000000"/>
                <w:kern w:val="0"/>
                <w:sz w:val="28"/>
                <w:szCs w:val="28"/>
                <w:highlight w:val="none"/>
                <w:lang w:bidi="ar"/>
              </w:rPr>
              <w:t>1、模拟量采集：支持0-20mA电流信号采集，精度0.1%F·S</w:t>
            </w:r>
          </w:p>
          <w:p w14:paraId="302407B3">
            <w:pPr>
              <w:keepNext w:val="0"/>
              <w:keepLines w:val="0"/>
              <w:pageBreakBefore w:val="0"/>
              <w:widowControl/>
              <w:shd w:val="clear"/>
              <w:kinsoku/>
              <w:wordWrap/>
              <w:overflowPunct/>
              <w:topLinePunct w:val="0"/>
              <w:autoSpaceDE/>
              <w:autoSpaceDN/>
              <w:bidi w:val="0"/>
              <w:adjustRightInd/>
              <w:snapToGrid/>
              <w:ind w:firstLine="0"/>
              <w:jc w:val="left"/>
              <w:textAlignment w:val="center"/>
              <w:rPr>
                <w:rFonts w:hint="eastAsia"/>
                <w:color w:val="000000"/>
                <w:kern w:val="0"/>
                <w:sz w:val="28"/>
                <w:szCs w:val="28"/>
                <w:highlight w:val="none"/>
                <w:lang w:bidi="ar"/>
              </w:rPr>
            </w:pPr>
            <w:r>
              <w:rPr>
                <w:rFonts w:hint="eastAsia"/>
                <w:color w:val="000000"/>
                <w:kern w:val="0"/>
                <w:sz w:val="28"/>
                <w:szCs w:val="28"/>
                <w:highlight w:val="none"/>
                <w:lang w:bidi="ar"/>
              </w:rPr>
              <w:t>2、开关量采集：支持无源开关量采集</w:t>
            </w:r>
          </w:p>
          <w:p w14:paraId="19789E20">
            <w:pPr>
              <w:keepNext w:val="0"/>
              <w:keepLines w:val="0"/>
              <w:pageBreakBefore w:val="0"/>
              <w:widowControl/>
              <w:shd w:val="clear"/>
              <w:kinsoku/>
              <w:wordWrap/>
              <w:overflowPunct/>
              <w:topLinePunct w:val="0"/>
              <w:autoSpaceDE/>
              <w:autoSpaceDN/>
              <w:bidi w:val="0"/>
              <w:adjustRightInd/>
              <w:snapToGrid/>
              <w:ind w:firstLine="0"/>
              <w:jc w:val="left"/>
              <w:textAlignment w:val="center"/>
              <w:rPr>
                <w:rFonts w:hint="eastAsia"/>
                <w:color w:val="000000"/>
                <w:kern w:val="0"/>
                <w:sz w:val="28"/>
                <w:szCs w:val="28"/>
                <w:highlight w:val="none"/>
                <w:lang w:bidi="ar"/>
              </w:rPr>
            </w:pPr>
            <w:r>
              <w:rPr>
                <w:rFonts w:hint="eastAsia"/>
                <w:color w:val="000000"/>
                <w:kern w:val="0"/>
                <w:sz w:val="28"/>
                <w:szCs w:val="28"/>
                <w:highlight w:val="none"/>
                <w:lang w:bidi="ar"/>
              </w:rPr>
              <w:t>3、继电器输出：支持继电器控制信号输出，容量5A@AC220V</w:t>
            </w:r>
          </w:p>
          <w:p w14:paraId="37747073">
            <w:pPr>
              <w:keepNext w:val="0"/>
              <w:keepLines w:val="0"/>
              <w:pageBreakBefore w:val="0"/>
              <w:widowControl/>
              <w:shd w:val="clear"/>
              <w:kinsoku/>
              <w:wordWrap/>
              <w:overflowPunct/>
              <w:topLinePunct w:val="0"/>
              <w:autoSpaceDE/>
              <w:autoSpaceDN/>
              <w:bidi w:val="0"/>
              <w:adjustRightInd/>
              <w:snapToGrid/>
              <w:ind w:firstLine="0"/>
              <w:jc w:val="left"/>
              <w:textAlignment w:val="center"/>
              <w:rPr>
                <w:rFonts w:hint="eastAsia"/>
                <w:color w:val="000000"/>
                <w:kern w:val="0"/>
                <w:sz w:val="28"/>
                <w:szCs w:val="28"/>
                <w:highlight w:val="none"/>
                <w:lang w:bidi="ar"/>
              </w:rPr>
            </w:pPr>
            <w:r>
              <w:rPr>
                <w:rFonts w:hint="eastAsia"/>
                <w:color w:val="000000"/>
                <w:kern w:val="0"/>
                <w:sz w:val="28"/>
                <w:szCs w:val="28"/>
                <w:highlight w:val="none"/>
                <w:lang w:bidi="ar"/>
              </w:rPr>
              <w:t>4、Modbus协议采集：支持Modbus-RTU数据采集，支持量程换算</w:t>
            </w:r>
          </w:p>
          <w:p w14:paraId="13B43745">
            <w:pPr>
              <w:keepNext w:val="0"/>
              <w:keepLines w:val="0"/>
              <w:pageBreakBefore w:val="0"/>
              <w:widowControl/>
              <w:shd w:val="clear"/>
              <w:kinsoku/>
              <w:wordWrap/>
              <w:overflowPunct/>
              <w:topLinePunct w:val="0"/>
              <w:autoSpaceDE/>
              <w:autoSpaceDN/>
              <w:bidi w:val="0"/>
              <w:adjustRightInd/>
              <w:snapToGrid/>
              <w:ind w:firstLine="0"/>
              <w:jc w:val="left"/>
              <w:textAlignment w:val="center"/>
              <w:rPr>
                <w:color w:val="000000"/>
                <w:sz w:val="28"/>
                <w:szCs w:val="28"/>
                <w:highlight w:val="none"/>
              </w:rPr>
            </w:pPr>
            <w:r>
              <w:rPr>
                <w:rFonts w:hint="eastAsia"/>
                <w:color w:val="000000"/>
                <w:kern w:val="0"/>
                <w:sz w:val="28"/>
                <w:szCs w:val="28"/>
                <w:highlight w:val="none"/>
                <w:lang w:bidi="ar"/>
              </w:rPr>
              <w:t>5、TCP采集：支持基于TCP传输的多种协议数据采集</w:t>
            </w:r>
          </w:p>
        </w:tc>
      </w:tr>
      <w:tr w14:paraId="7A914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27" w:type="pct"/>
            <w:shd w:val="clear" w:color="auto" w:fill="auto"/>
            <w:noWrap/>
            <w:vAlign w:val="center"/>
          </w:tcPr>
          <w:p w14:paraId="65C99C69">
            <w:pPr>
              <w:keepNext w:val="0"/>
              <w:keepLines w:val="0"/>
              <w:pageBreakBefore w:val="0"/>
              <w:widowControl/>
              <w:shd w:val="clear"/>
              <w:kinsoku/>
              <w:wordWrap/>
              <w:overflowPunct/>
              <w:topLinePunct w:val="0"/>
              <w:autoSpaceDE/>
              <w:autoSpaceDN/>
              <w:bidi w:val="0"/>
              <w:adjustRightInd/>
              <w:snapToGrid/>
              <w:ind w:firstLine="0"/>
              <w:jc w:val="center"/>
              <w:textAlignment w:val="center"/>
              <w:rPr>
                <w:color w:val="000000"/>
                <w:sz w:val="28"/>
                <w:szCs w:val="28"/>
                <w:highlight w:val="none"/>
              </w:rPr>
            </w:pPr>
            <w:r>
              <w:rPr>
                <w:rFonts w:hint="eastAsia"/>
                <w:color w:val="000000"/>
                <w:kern w:val="0"/>
                <w:sz w:val="28"/>
                <w:szCs w:val="28"/>
                <w:highlight w:val="none"/>
                <w:lang w:bidi="ar"/>
              </w:rPr>
              <w:t>传输单元</w:t>
            </w:r>
          </w:p>
        </w:tc>
        <w:tc>
          <w:tcPr>
            <w:tcW w:w="3472" w:type="pct"/>
            <w:shd w:val="clear" w:color="auto" w:fill="auto"/>
            <w:vAlign w:val="center"/>
          </w:tcPr>
          <w:p w14:paraId="73581AD8">
            <w:pPr>
              <w:keepNext w:val="0"/>
              <w:keepLines w:val="0"/>
              <w:pageBreakBefore w:val="0"/>
              <w:widowControl/>
              <w:shd w:val="clear"/>
              <w:kinsoku/>
              <w:wordWrap/>
              <w:overflowPunct/>
              <w:topLinePunct w:val="0"/>
              <w:autoSpaceDE/>
              <w:autoSpaceDN/>
              <w:bidi w:val="0"/>
              <w:adjustRightInd/>
              <w:snapToGrid/>
              <w:ind w:firstLine="0"/>
              <w:jc w:val="left"/>
              <w:textAlignment w:val="center"/>
              <w:rPr>
                <w:rFonts w:hint="eastAsia"/>
                <w:color w:val="000000"/>
                <w:kern w:val="0"/>
                <w:sz w:val="28"/>
                <w:szCs w:val="28"/>
                <w:highlight w:val="none"/>
                <w:lang w:bidi="ar"/>
              </w:rPr>
            </w:pPr>
            <w:r>
              <w:rPr>
                <w:rFonts w:hint="eastAsia"/>
                <w:color w:val="000000"/>
                <w:kern w:val="0"/>
                <w:sz w:val="28"/>
                <w:szCs w:val="28"/>
                <w:highlight w:val="none"/>
                <w:lang w:bidi="ar"/>
              </w:rPr>
              <w:t>1、支持RS485串口通讯</w:t>
            </w:r>
          </w:p>
          <w:p w14:paraId="2CEDD0E9">
            <w:pPr>
              <w:keepNext w:val="0"/>
              <w:keepLines w:val="0"/>
              <w:pageBreakBefore w:val="0"/>
              <w:widowControl/>
              <w:shd w:val="clear"/>
              <w:kinsoku/>
              <w:wordWrap/>
              <w:overflowPunct/>
              <w:topLinePunct w:val="0"/>
              <w:autoSpaceDE/>
              <w:autoSpaceDN/>
              <w:bidi w:val="0"/>
              <w:adjustRightInd/>
              <w:snapToGrid/>
              <w:ind w:firstLine="0"/>
              <w:jc w:val="left"/>
              <w:textAlignment w:val="center"/>
              <w:rPr>
                <w:rFonts w:hint="eastAsia"/>
                <w:color w:val="000000"/>
                <w:kern w:val="0"/>
                <w:sz w:val="28"/>
                <w:szCs w:val="28"/>
                <w:highlight w:val="none"/>
                <w:lang w:bidi="ar"/>
              </w:rPr>
            </w:pPr>
            <w:r>
              <w:rPr>
                <w:rFonts w:hint="eastAsia"/>
                <w:color w:val="000000"/>
                <w:kern w:val="0"/>
                <w:sz w:val="28"/>
                <w:szCs w:val="28"/>
                <w:highlight w:val="none"/>
                <w:lang w:bidi="ar"/>
              </w:rPr>
              <w:t>2、支持RS232串口通讯</w:t>
            </w:r>
          </w:p>
          <w:p w14:paraId="5ED0F264">
            <w:pPr>
              <w:keepNext w:val="0"/>
              <w:keepLines w:val="0"/>
              <w:pageBreakBefore w:val="0"/>
              <w:widowControl/>
              <w:shd w:val="clear"/>
              <w:kinsoku/>
              <w:wordWrap/>
              <w:overflowPunct/>
              <w:topLinePunct w:val="0"/>
              <w:autoSpaceDE/>
              <w:autoSpaceDN/>
              <w:bidi w:val="0"/>
              <w:adjustRightInd/>
              <w:snapToGrid/>
              <w:ind w:firstLine="0"/>
              <w:jc w:val="left"/>
              <w:textAlignment w:val="center"/>
              <w:rPr>
                <w:rFonts w:hint="eastAsia"/>
                <w:color w:val="000000"/>
                <w:kern w:val="0"/>
                <w:sz w:val="28"/>
                <w:szCs w:val="28"/>
                <w:highlight w:val="none"/>
                <w:lang w:bidi="ar"/>
              </w:rPr>
            </w:pPr>
            <w:r>
              <w:rPr>
                <w:rFonts w:hint="eastAsia"/>
                <w:color w:val="000000"/>
                <w:kern w:val="0"/>
                <w:sz w:val="28"/>
                <w:szCs w:val="28"/>
                <w:highlight w:val="none"/>
                <w:lang w:bidi="ar"/>
              </w:rPr>
              <w:t>3、支持LORA无线通讯</w:t>
            </w:r>
          </w:p>
          <w:p w14:paraId="6B57F25F">
            <w:pPr>
              <w:keepNext w:val="0"/>
              <w:keepLines w:val="0"/>
              <w:pageBreakBefore w:val="0"/>
              <w:widowControl/>
              <w:shd w:val="clear"/>
              <w:kinsoku/>
              <w:wordWrap/>
              <w:overflowPunct/>
              <w:topLinePunct w:val="0"/>
              <w:autoSpaceDE/>
              <w:autoSpaceDN/>
              <w:bidi w:val="0"/>
              <w:adjustRightInd/>
              <w:snapToGrid/>
              <w:ind w:firstLine="0"/>
              <w:jc w:val="left"/>
              <w:textAlignment w:val="center"/>
              <w:rPr>
                <w:rFonts w:hint="eastAsia"/>
                <w:color w:val="000000"/>
                <w:kern w:val="0"/>
                <w:sz w:val="28"/>
                <w:szCs w:val="28"/>
                <w:highlight w:val="none"/>
                <w:lang w:bidi="ar"/>
              </w:rPr>
            </w:pPr>
            <w:r>
              <w:rPr>
                <w:rFonts w:hint="eastAsia"/>
                <w:color w:val="000000"/>
                <w:kern w:val="0"/>
                <w:sz w:val="28"/>
                <w:szCs w:val="28"/>
                <w:highlight w:val="none"/>
                <w:lang w:bidi="ar"/>
              </w:rPr>
              <w:t>4、支持以太网TCP通讯</w:t>
            </w:r>
          </w:p>
          <w:p w14:paraId="6BA2E7B9">
            <w:pPr>
              <w:keepNext w:val="0"/>
              <w:keepLines w:val="0"/>
              <w:pageBreakBefore w:val="0"/>
              <w:widowControl/>
              <w:shd w:val="clear"/>
              <w:kinsoku/>
              <w:wordWrap/>
              <w:overflowPunct/>
              <w:topLinePunct w:val="0"/>
              <w:autoSpaceDE/>
              <w:autoSpaceDN/>
              <w:bidi w:val="0"/>
              <w:adjustRightInd/>
              <w:snapToGrid/>
              <w:ind w:firstLine="0"/>
              <w:jc w:val="left"/>
              <w:textAlignment w:val="center"/>
              <w:rPr>
                <w:color w:val="000000"/>
                <w:sz w:val="28"/>
                <w:szCs w:val="28"/>
                <w:highlight w:val="none"/>
              </w:rPr>
            </w:pPr>
            <w:r>
              <w:rPr>
                <w:rFonts w:hint="eastAsia"/>
                <w:color w:val="000000"/>
                <w:kern w:val="0"/>
                <w:sz w:val="28"/>
                <w:szCs w:val="28"/>
                <w:highlight w:val="none"/>
                <w:lang w:bidi="ar"/>
              </w:rPr>
              <w:t>5、支持以太网DCOM通讯</w:t>
            </w:r>
          </w:p>
        </w:tc>
      </w:tr>
      <w:tr w14:paraId="606ED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27" w:type="pct"/>
            <w:shd w:val="clear" w:color="auto" w:fill="auto"/>
            <w:noWrap/>
            <w:vAlign w:val="center"/>
          </w:tcPr>
          <w:p w14:paraId="3D26A7AF">
            <w:pPr>
              <w:keepNext w:val="0"/>
              <w:keepLines w:val="0"/>
              <w:pageBreakBefore w:val="0"/>
              <w:widowControl/>
              <w:shd w:val="clear"/>
              <w:kinsoku/>
              <w:wordWrap/>
              <w:overflowPunct/>
              <w:topLinePunct w:val="0"/>
              <w:autoSpaceDE/>
              <w:autoSpaceDN/>
              <w:bidi w:val="0"/>
              <w:adjustRightInd/>
              <w:snapToGrid/>
              <w:ind w:firstLine="0"/>
              <w:jc w:val="center"/>
              <w:textAlignment w:val="center"/>
              <w:rPr>
                <w:color w:val="000000"/>
                <w:sz w:val="28"/>
                <w:szCs w:val="28"/>
                <w:highlight w:val="none"/>
              </w:rPr>
            </w:pPr>
            <w:r>
              <w:rPr>
                <w:rFonts w:hint="eastAsia"/>
                <w:color w:val="000000"/>
                <w:kern w:val="0"/>
                <w:sz w:val="28"/>
                <w:szCs w:val="28"/>
                <w:highlight w:val="none"/>
                <w:lang w:bidi="ar"/>
              </w:rPr>
              <w:t>结构单元</w:t>
            </w:r>
          </w:p>
        </w:tc>
        <w:tc>
          <w:tcPr>
            <w:tcW w:w="3472" w:type="pct"/>
            <w:shd w:val="clear" w:color="auto" w:fill="auto"/>
            <w:vAlign w:val="center"/>
          </w:tcPr>
          <w:p w14:paraId="7693D9EB">
            <w:pPr>
              <w:keepNext w:val="0"/>
              <w:keepLines w:val="0"/>
              <w:pageBreakBefore w:val="0"/>
              <w:widowControl/>
              <w:shd w:val="clear"/>
              <w:kinsoku/>
              <w:wordWrap/>
              <w:overflowPunct/>
              <w:topLinePunct w:val="0"/>
              <w:autoSpaceDE/>
              <w:autoSpaceDN/>
              <w:bidi w:val="0"/>
              <w:adjustRightInd/>
              <w:snapToGrid/>
              <w:ind w:firstLine="0"/>
              <w:jc w:val="left"/>
              <w:textAlignment w:val="center"/>
              <w:rPr>
                <w:rFonts w:hint="eastAsia"/>
                <w:color w:val="000000"/>
                <w:kern w:val="0"/>
                <w:sz w:val="28"/>
                <w:szCs w:val="28"/>
                <w:highlight w:val="none"/>
                <w:lang w:bidi="ar"/>
              </w:rPr>
            </w:pPr>
            <w:r>
              <w:rPr>
                <w:rFonts w:hint="eastAsia"/>
                <w:color w:val="000000"/>
                <w:kern w:val="0"/>
                <w:sz w:val="28"/>
                <w:szCs w:val="28"/>
                <w:highlight w:val="none"/>
                <w:lang w:bidi="ar"/>
              </w:rPr>
              <w:t>1、支持挂墙安装方式</w:t>
            </w:r>
          </w:p>
          <w:p w14:paraId="022E388A">
            <w:pPr>
              <w:keepNext w:val="0"/>
              <w:keepLines w:val="0"/>
              <w:pageBreakBefore w:val="0"/>
              <w:widowControl/>
              <w:shd w:val="clear"/>
              <w:kinsoku/>
              <w:wordWrap/>
              <w:overflowPunct/>
              <w:topLinePunct w:val="0"/>
              <w:autoSpaceDE/>
              <w:autoSpaceDN/>
              <w:bidi w:val="0"/>
              <w:adjustRightInd/>
              <w:snapToGrid/>
              <w:ind w:firstLine="0"/>
              <w:jc w:val="left"/>
              <w:textAlignment w:val="center"/>
              <w:rPr>
                <w:rFonts w:hint="eastAsia"/>
                <w:color w:val="000000"/>
                <w:kern w:val="0"/>
                <w:sz w:val="28"/>
                <w:szCs w:val="28"/>
                <w:highlight w:val="none"/>
                <w:lang w:bidi="ar"/>
              </w:rPr>
            </w:pPr>
            <w:r>
              <w:rPr>
                <w:rFonts w:hint="eastAsia"/>
                <w:color w:val="000000"/>
                <w:kern w:val="0"/>
                <w:sz w:val="28"/>
                <w:szCs w:val="28"/>
                <w:highlight w:val="none"/>
                <w:lang w:bidi="ar"/>
              </w:rPr>
              <w:t>2、外壳具备散热孔，保证设备平稳运行</w:t>
            </w:r>
          </w:p>
          <w:p w14:paraId="77D73F2D">
            <w:pPr>
              <w:keepNext w:val="0"/>
              <w:keepLines w:val="0"/>
              <w:pageBreakBefore w:val="0"/>
              <w:widowControl/>
              <w:shd w:val="clear"/>
              <w:kinsoku/>
              <w:wordWrap/>
              <w:overflowPunct/>
              <w:topLinePunct w:val="0"/>
              <w:autoSpaceDE/>
              <w:autoSpaceDN/>
              <w:bidi w:val="0"/>
              <w:adjustRightInd/>
              <w:snapToGrid/>
              <w:ind w:firstLine="0"/>
              <w:jc w:val="left"/>
              <w:textAlignment w:val="center"/>
              <w:rPr>
                <w:color w:val="000000"/>
                <w:sz w:val="28"/>
                <w:szCs w:val="28"/>
                <w:highlight w:val="none"/>
              </w:rPr>
            </w:pPr>
            <w:r>
              <w:rPr>
                <w:rFonts w:hint="eastAsia"/>
                <w:color w:val="000000"/>
                <w:kern w:val="0"/>
                <w:sz w:val="28"/>
                <w:szCs w:val="28"/>
                <w:highlight w:val="none"/>
                <w:lang w:bidi="ar"/>
              </w:rPr>
              <w:t>3、防护等级：IP54</w:t>
            </w:r>
          </w:p>
        </w:tc>
      </w:tr>
      <w:tr w14:paraId="59DC5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27" w:type="pct"/>
            <w:shd w:val="clear" w:color="auto" w:fill="auto"/>
            <w:noWrap/>
            <w:vAlign w:val="center"/>
          </w:tcPr>
          <w:p w14:paraId="0EA874BA">
            <w:pPr>
              <w:keepNext w:val="0"/>
              <w:keepLines w:val="0"/>
              <w:pageBreakBefore w:val="0"/>
              <w:widowControl/>
              <w:shd w:val="clear"/>
              <w:kinsoku/>
              <w:wordWrap/>
              <w:overflowPunct/>
              <w:topLinePunct w:val="0"/>
              <w:autoSpaceDE/>
              <w:autoSpaceDN/>
              <w:bidi w:val="0"/>
              <w:adjustRightInd/>
              <w:snapToGrid/>
              <w:ind w:firstLine="0"/>
              <w:jc w:val="center"/>
              <w:textAlignment w:val="center"/>
              <w:rPr>
                <w:color w:val="000000"/>
                <w:sz w:val="28"/>
                <w:szCs w:val="28"/>
                <w:highlight w:val="none"/>
              </w:rPr>
            </w:pPr>
            <w:r>
              <w:rPr>
                <w:rFonts w:hint="eastAsia"/>
                <w:color w:val="000000"/>
                <w:kern w:val="0"/>
                <w:sz w:val="28"/>
                <w:szCs w:val="28"/>
                <w:highlight w:val="none"/>
                <w:lang w:bidi="ar"/>
              </w:rPr>
              <w:t>电源单元</w:t>
            </w:r>
          </w:p>
        </w:tc>
        <w:tc>
          <w:tcPr>
            <w:tcW w:w="3472" w:type="pct"/>
            <w:shd w:val="clear" w:color="auto" w:fill="auto"/>
            <w:vAlign w:val="center"/>
          </w:tcPr>
          <w:p w14:paraId="320AEBB1">
            <w:pPr>
              <w:keepNext w:val="0"/>
              <w:keepLines w:val="0"/>
              <w:pageBreakBefore w:val="0"/>
              <w:widowControl/>
              <w:shd w:val="clear"/>
              <w:kinsoku/>
              <w:wordWrap/>
              <w:overflowPunct/>
              <w:topLinePunct w:val="0"/>
              <w:autoSpaceDE/>
              <w:autoSpaceDN/>
              <w:bidi w:val="0"/>
              <w:adjustRightInd/>
              <w:snapToGrid/>
              <w:ind w:firstLine="0"/>
              <w:jc w:val="left"/>
              <w:textAlignment w:val="center"/>
              <w:rPr>
                <w:rFonts w:hint="eastAsia"/>
                <w:color w:val="000000"/>
                <w:kern w:val="0"/>
                <w:sz w:val="28"/>
                <w:szCs w:val="28"/>
                <w:highlight w:val="none"/>
                <w:lang w:bidi="ar"/>
              </w:rPr>
            </w:pPr>
            <w:r>
              <w:rPr>
                <w:rFonts w:hint="eastAsia"/>
                <w:color w:val="000000"/>
                <w:kern w:val="0"/>
                <w:sz w:val="28"/>
                <w:szCs w:val="28"/>
                <w:highlight w:val="none"/>
                <w:lang w:bidi="ar"/>
              </w:rPr>
              <w:t>1、电源接入：支持AC220V市电供应</w:t>
            </w:r>
          </w:p>
          <w:p w14:paraId="36D801C0">
            <w:pPr>
              <w:keepNext w:val="0"/>
              <w:keepLines w:val="0"/>
              <w:pageBreakBefore w:val="0"/>
              <w:widowControl/>
              <w:shd w:val="clear"/>
              <w:kinsoku/>
              <w:wordWrap/>
              <w:overflowPunct/>
              <w:topLinePunct w:val="0"/>
              <w:autoSpaceDE/>
              <w:autoSpaceDN/>
              <w:bidi w:val="0"/>
              <w:adjustRightInd/>
              <w:snapToGrid/>
              <w:ind w:firstLine="0"/>
              <w:jc w:val="left"/>
              <w:textAlignment w:val="center"/>
              <w:rPr>
                <w:rFonts w:hint="eastAsia"/>
                <w:color w:val="000000"/>
                <w:kern w:val="0"/>
                <w:sz w:val="28"/>
                <w:szCs w:val="28"/>
                <w:highlight w:val="none"/>
                <w:lang w:bidi="ar"/>
              </w:rPr>
            </w:pPr>
            <w:r>
              <w:rPr>
                <w:rFonts w:hint="eastAsia"/>
                <w:color w:val="000000"/>
                <w:kern w:val="0"/>
                <w:sz w:val="28"/>
                <w:szCs w:val="28"/>
                <w:highlight w:val="none"/>
                <w:lang w:bidi="ar"/>
              </w:rPr>
              <w:t>2、电源防护：具备防雷电路、过载保护</w:t>
            </w:r>
          </w:p>
          <w:p w14:paraId="6D97AD87">
            <w:pPr>
              <w:keepNext w:val="0"/>
              <w:keepLines w:val="0"/>
              <w:pageBreakBefore w:val="0"/>
              <w:widowControl/>
              <w:shd w:val="clear"/>
              <w:kinsoku/>
              <w:wordWrap/>
              <w:overflowPunct/>
              <w:topLinePunct w:val="0"/>
              <w:autoSpaceDE/>
              <w:autoSpaceDN/>
              <w:bidi w:val="0"/>
              <w:adjustRightInd/>
              <w:snapToGrid/>
              <w:ind w:firstLine="0"/>
              <w:jc w:val="left"/>
              <w:textAlignment w:val="center"/>
              <w:rPr>
                <w:rFonts w:hint="eastAsia"/>
                <w:color w:val="000000"/>
                <w:kern w:val="0"/>
                <w:sz w:val="28"/>
                <w:szCs w:val="28"/>
                <w:highlight w:val="none"/>
                <w:lang w:bidi="ar"/>
              </w:rPr>
            </w:pPr>
            <w:r>
              <w:rPr>
                <w:rFonts w:hint="eastAsia"/>
                <w:color w:val="000000"/>
                <w:kern w:val="0"/>
                <w:sz w:val="28"/>
                <w:szCs w:val="28"/>
                <w:highlight w:val="none"/>
                <w:lang w:bidi="ar"/>
              </w:rPr>
              <w:t>3、电源供应：支持对外电源供应，DC24V，总功率120W</w:t>
            </w:r>
          </w:p>
          <w:p w14:paraId="25B4608F">
            <w:pPr>
              <w:keepNext w:val="0"/>
              <w:keepLines w:val="0"/>
              <w:pageBreakBefore w:val="0"/>
              <w:widowControl/>
              <w:shd w:val="clear"/>
              <w:kinsoku/>
              <w:wordWrap/>
              <w:overflowPunct/>
              <w:topLinePunct w:val="0"/>
              <w:autoSpaceDE/>
              <w:autoSpaceDN/>
              <w:bidi w:val="0"/>
              <w:adjustRightInd/>
              <w:snapToGrid/>
              <w:ind w:firstLine="0"/>
              <w:jc w:val="left"/>
              <w:textAlignment w:val="center"/>
              <w:rPr>
                <w:color w:val="000000"/>
                <w:sz w:val="28"/>
                <w:szCs w:val="28"/>
                <w:highlight w:val="none"/>
              </w:rPr>
            </w:pPr>
            <w:r>
              <w:rPr>
                <w:rFonts w:hint="eastAsia"/>
                <w:color w:val="000000"/>
                <w:kern w:val="0"/>
                <w:sz w:val="28"/>
                <w:szCs w:val="28"/>
                <w:highlight w:val="none"/>
                <w:lang w:bidi="ar"/>
              </w:rPr>
              <w:t>4、不间断电源：支持UPS不间断电源功能，电池容量8AH</w:t>
            </w:r>
          </w:p>
        </w:tc>
      </w:tr>
      <w:tr w14:paraId="4515D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27" w:type="pct"/>
            <w:shd w:val="clear" w:color="auto" w:fill="auto"/>
            <w:noWrap/>
            <w:vAlign w:val="center"/>
          </w:tcPr>
          <w:p w14:paraId="5A06BC5E">
            <w:pPr>
              <w:keepNext w:val="0"/>
              <w:keepLines w:val="0"/>
              <w:pageBreakBefore w:val="0"/>
              <w:widowControl/>
              <w:shd w:val="clear"/>
              <w:kinsoku/>
              <w:wordWrap/>
              <w:overflowPunct/>
              <w:topLinePunct w:val="0"/>
              <w:autoSpaceDE/>
              <w:autoSpaceDN/>
              <w:bidi w:val="0"/>
              <w:adjustRightInd/>
              <w:snapToGrid/>
              <w:ind w:firstLine="0"/>
              <w:jc w:val="center"/>
              <w:textAlignment w:val="center"/>
              <w:rPr>
                <w:color w:val="000000"/>
                <w:sz w:val="28"/>
                <w:szCs w:val="28"/>
                <w:highlight w:val="none"/>
              </w:rPr>
            </w:pPr>
            <w:r>
              <w:rPr>
                <w:rFonts w:hint="eastAsia"/>
                <w:color w:val="000000"/>
                <w:kern w:val="0"/>
                <w:sz w:val="28"/>
                <w:szCs w:val="28"/>
                <w:highlight w:val="none"/>
                <w:lang w:bidi="ar"/>
              </w:rPr>
              <w:t>外围接口</w:t>
            </w:r>
          </w:p>
        </w:tc>
        <w:tc>
          <w:tcPr>
            <w:tcW w:w="3472" w:type="pct"/>
            <w:shd w:val="clear" w:color="auto" w:fill="auto"/>
            <w:vAlign w:val="center"/>
          </w:tcPr>
          <w:p w14:paraId="3D6952BA">
            <w:pPr>
              <w:keepNext w:val="0"/>
              <w:keepLines w:val="0"/>
              <w:pageBreakBefore w:val="0"/>
              <w:widowControl/>
              <w:shd w:val="clear"/>
              <w:kinsoku/>
              <w:wordWrap/>
              <w:overflowPunct/>
              <w:topLinePunct w:val="0"/>
              <w:autoSpaceDE/>
              <w:autoSpaceDN/>
              <w:bidi w:val="0"/>
              <w:adjustRightInd/>
              <w:snapToGrid/>
              <w:ind w:firstLine="0"/>
              <w:jc w:val="left"/>
              <w:textAlignment w:val="center"/>
              <w:rPr>
                <w:rFonts w:hint="eastAsia"/>
                <w:color w:val="000000"/>
                <w:kern w:val="0"/>
                <w:sz w:val="28"/>
                <w:szCs w:val="28"/>
                <w:highlight w:val="none"/>
                <w:lang w:bidi="ar"/>
              </w:rPr>
            </w:pPr>
            <w:r>
              <w:rPr>
                <w:rFonts w:hint="eastAsia"/>
                <w:color w:val="000000"/>
                <w:kern w:val="0"/>
                <w:sz w:val="28"/>
                <w:szCs w:val="28"/>
                <w:highlight w:val="none"/>
                <w:lang w:bidi="ar"/>
              </w:rPr>
              <w:t>1、工业隔离RS232接口*1，DB9形式</w:t>
            </w:r>
          </w:p>
          <w:p w14:paraId="21B8F4E4">
            <w:pPr>
              <w:keepNext w:val="0"/>
              <w:keepLines w:val="0"/>
              <w:pageBreakBefore w:val="0"/>
              <w:widowControl/>
              <w:shd w:val="clear"/>
              <w:kinsoku/>
              <w:wordWrap/>
              <w:overflowPunct/>
              <w:topLinePunct w:val="0"/>
              <w:autoSpaceDE/>
              <w:autoSpaceDN/>
              <w:bidi w:val="0"/>
              <w:adjustRightInd/>
              <w:snapToGrid/>
              <w:ind w:firstLine="0"/>
              <w:jc w:val="left"/>
              <w:textAlignment w:val="center"/>
              <w:rPr>
                <w:rFonts w:hint="eastAsia"/>
                <w:color w:val="000000"/>
                <w:kern w:val="0"/>
                <w:sz w:val="28"/>
                <w:szCs w:val="28"/>
                <w:highlight w:val="none"/>
                <w:lang w:bidi="ar"/>
              </w:rPr>
            </w:pPr>
            <w:r>
              <w:rPr>
                <w:rFonts w:hint="eastAsia"/>
                <w:color w:val="000000"/>
                <w:kern w:val="0"/>
                <w:sz w:val="28"/>
                <w:szCs w:val="28"/>
                <w:highlight w:val="none"/>
                <w:lang w:bidi="ar"/>
              </w:rPr>
              <w:t>2、工业隔离RS485接口*2</w:t>
            </w:r>
          </w:p>
          <w:p w14:paraId="194E2D64">
            <w:pPr>
              <w:keepNext w:val="0"/>
              <w:keepLines w:val="0"/>
              <w:pageBreakBefore w:val="0"/>
              <w:widowControl/>
              <w:shd w:val="clear"/>
              <w:kinsoku/>
              <w:wordWrap/>
              <w:overflowPunct/>
              <w:topLinePunct w:val="0"/>
              <w:autoSpaceDE/>
              <w:autoSpaceDN/>
              <w:bidi w:val="0"/>
              <w:adjustRightInd/>
              <w:snapToGrid/>
              <w:ind w:firstLine="0"/>
              <w:jc w:val="left"/>
              <w:textAlignment w:val="center"/>
              <w:rPr>
                <w:rFonts w:hint="eastAsia"/>
                <w:color w:val="000000"/>
                <w:kern w:val="0"/>
                <w:sz w:val="28"/>
                <w:szCs w:val="28"/>
                <w:highlight w:val="none"/>
                <w:lang w:bidi="ar"/>
              </w:rPr>
            </w:pPr>
            <w:r>
              <w:rPr>
                <w:rFonts w:hint="eastAsia"/>
                <w:color w:val="000000"/>
                <w:kern w:val="0"/>
                <w:sz w:val="28"/>
                <w:szCs w:val="28"/>
                <w:highlight w:val="none"/>
                <w:lang w:bidi="ar"/>
              </w:rPr>
              <w:t>3、LORA通讯接口*1，发射功率1W</w:t>
            </w:r>
          </w:p>
          <w:p w14:paraId="33B363E4">
            <w:pPr>
              <w:keepNext w:val="0"/>
              <w:keepLines w:val="0"/>
              <w:pageBreakBefore w:val="0"/>
              <w:widowControl/>
              <w:shd w:val="clear"/>
              <w:kinsoku/>
              <w:wordWrap/>
              <w:overflowPunct/>
              <w:topLinePunct w:val="0"/>
              <w:autoSpaceDE/>
              <w:autoSpaceDN/>
              <w:bidi w:val="0"/>
              <w:adjustRightInd/>
              <w:snapToGrid/>
              <w:ind w:firstLine="0"/>
              <w:jc w:val="left"/>
              <w:textAlignment w:val="center"/>
              <w:rPr>
                <w:rFonts w:hint="eastAsia"/>
                <w:color w:val="000000"/>
                <w:kern w:val="0"/>
                <w:sz w:val="28"/>
                <w:szCs w:val="28"/>
                <w:highlight w:val="none"/>
                <w:lang w:bidi="ar"/>
              </w:rPr>
            </w:pPr>
            <w:r>
              <w:rPr>
                <w:rFonts w:hint="eastAsia"/>
                <w:color w:val="000000"/>
                <w:kern w:val="0"/>
                <w:sz w:val="28"/>
                <w:szCs w:val="28"/>
                <w:highlight w:val="none"/>
                <w:lang w:bidi="ar"/>
              </w:rPr>
              <w:t>4、模拟量采集接口*10,</w:t>
            </w:r>
          </w:p>
          <w:p w14:paraId="4DA52F1F">
            <w:pPr>
              <w:keepNext w:val="0"/>
              <w:keepLines w:val="0"/>
              <w:pageBreakBefore w:val="0"/>
              <w:widowControl/>
              <w:shd w:val="clear"/>
              <w:kinsoku/>
              <w:wordWrap/>
              <w:overflowPunct/>
              <w:topLinePunct w:val="0"/>
              <w:autoSpaceDE/>
              <w:autoSpaceDN/>
              <w:bidi w:val="0"/>
              <w:adjustRightInd/>
              <w:snapToGrid/>
              <w:ind w:firstLine="0"/>
              <w:jc w:val="left"/>
              <w:textAlignment w:val="center"/>
              <w:rPr>
                <w:rFonts w:hint="eastAsia"/>
                <w:color w:val="000000"/>
                <w:kern w:val="0"/>
                <w:sz w:val="28"/>
                <w:szCs w:val="28"/>
                <w:highlight w:val="none"/>
                <w:lang w:bidi="ar"/>
              </w:rPr>
            </w:pPr>
            <w:r>
              <w:rPr>
                <w:rFonts w:hint="eastAsia"/>
                <w:color w:val="000000"/>
                <w:kern w:val="0"/>
                <w:sz w:val="28"/>
                <w:szCs w:val="28"/>
                <w:highlight w:val="none"/>
                <w:lang w:bidi="ar"/>
              </w:rPr>
              <w:t>5、开关量采集接口*8</w:t>
            </w:r>
          </w:p>
          <w:p w14:paraId="5FCF7033">
            <w:pPr>
              <w:keepNext w:val="0"/>
              <w:keepLines w:val="0"/>
              <w:pageBreakBefore w:val="0"/>
              <w:widowControl/>
              <w:shd w:val="clear"/>
              <w:kinsoku/>
              <w:wordWrap/>
              <w:overflowPunct/>
              <w:topLinePunct w:val="0"/>
              <w:autoSpaceDE/>
              <w:autoSpaceDN/>
              <w:bidi w:val="0"/>
              <w:adjustRightInd/>
              <w:snapToGrid/>
              <w:ind w:firstLine="0"/>
              <w:jc w:val="left"/>
              <w:textAlignment w:val="center"/>
              <w:rPr>
                <w:rFonts w:hint="eastAsia"/>
                <w:color w:val="000000"/>
                <w:kern w:val="0"/>
                <w:sz w:val="28"/>
                <w:szCs w:val="28"/>
                <w:highlight w:val="none"/>
                <w:lang w:bidi="ar"/>
              </w:rPr>
            </w:pPr>
            <w:r>
              <w:rPr>
                <w:rFonts w:hint="eastAsia"/>
                <w:color w:val="000000"/>
                <w:kern w:val="0"/>
                <w:sz w:val="28"/>
                <w:szCs w:val="28"/>
                <w:highlight w:val="none"/>
                <w:lang w:bidi="ar"/>
              </w:rPr>
              <w:t>6、继电器输出接口*4</w:t>
            </w:r>
          </w:p>
          <w:p w14:paraId="10D8C2F0">
            <w:pPr>
              <w:keepNext w:val="0"/>
              <w:keepLines w:val="0"/>
              <w:pageBreakBefore w:val="0"/>
              <w:widowControl/>
              <w:shd w:val="clear"/>
              <w:kinsoku/>
              <w:wordWrap/>
              <w:overflowPunct/>
              <w:topLinePunct w:val="0"/>
              <w:autoSpaceDE/>
              <w:autoSpaceDN/>
              <w:bidi w:val="0"/>
              <w:adjustRightInd/>
              <w:snapToGrid/>
              <w:ind w:firstLine="0"/>
              <w:jc w:val="left"/>
              <w:textAlignment w:val="center"/>
              <w:rPr>
                <w:rFonts w:hint="eastAsia"/>
                <w:color w:val="000000"/>
                <w:kern w:val="0"/>
                <w:sz w:val="28"/>
                <w:szCs w:val="28"/>
                <w:highlight w:val="none"/>
                <w:lang w:bidi="ar"/>
              </w:rPr>
            </w:pPr>
            <w:r>
              <w:rPr>
                <w:rFonts w:hint="eastAsia"/>
                <w:color w:val="000000"/>
                <w:kern w:val="0"/>
                <w:sz w:val="28"/>
                <w:szCs w:val="28"/>
                <w:highlight w:val="none"/>
                <w:lang w:bidi="ar"/>
              </w:rPr>
              <w:t>7、DC24V电源供应接口*10</w:t>
            </w:r>
          </w:p>
          <w:p w14:paraId="3413EBE1">
            <w:pPr>
              <w:keepNext w:val="0"/>
              <w:keepLines w:val="0"/>
              <w:pageBreakBefore w:val="0"/>
              <w:widowControl/>
              <w:shd w:val="clear"/>
              <w:kinsoku/>
              <w:wordWrap/>
              <w:overflowPunct/>
              <w:topLinePunct w:val="0"/>
              <w:autoSpaceDE/>
              <w:autoSpaceDN/>
              <w:bidi w:val="0"/>
              <w:adjustRightInd/>
              <w:snapToGrid/>
              <w:ind w:firstLine="0"/>
              <w:jc w:val="left"/>
              <w:textAlignment w:val="center"/>
              <w:rPr>
                <w:rFonts w:hint="eastAsia"/>
                <w:color w:val="000000"/>
                <w:kern w:val="0"/>
                <w:sz w:val="28"/>
                <w:szCs w:val="28"/>
                <w:highlight w:val="none"/>
                <w:lang w:bidi="ar"/>
              </w:rPr>
            </w:pPr>
            <w:r>
              <w:rPr>
                <w:rFonts w:hint="eastAsia"/>
                <w:color w:val="000000"/>
                <w:kern w:val="0"/>
                <w:sz w:val="28"/>
                <w:szCs w:val="28"/>
                <w:highlight w:val="none"/>
                <w:lang w:bidi="ar"/>
              </w:rPr>
              <w:t>8、10/100M以太网RJ45接口*2</w:t>
            </w:r>
          </w:p>
          <w:p w14:paraId="60F0BC69">
            <w:pPr>
              <w:keepNext w:val="0"/>
              <w:keepLines w:val="0"/>
              <w:pageBreakBefore w:val="0"/>
              <w:widowControl/>
              <w:shd w:val="clear"/>
              <w:kinsoku/>
              <w:wordWrap/>
              <w:overflowPunct/>
              <w:topLinePunct w:val="0"/>
              <w:autoSpaceDE/>
              <w:autoSpaceDN/>
              <w:bidi w:val="0"/>
              <w:adjustRightInd/>
              <w:snapToGrid/>
              <w:ind w:firstLine="0"/>
              <w:jc w:val="left"/>
              <w:textAlignment w:val="center"/>
              <w:rPr>
                <w:color w:val="000000"/>
                <w:sz w:val="28"/>
                <w:szCs w:val="28"/>
                <w:highlight w:val="none"/>
              </w:rPr>
            </w:pPr>
            <w:r>
              <w:rPr>
                <w:rFonts w:hint="eastAsia"/>
                <w:color w:val="000000"/>
                <w:kern w:val="0"/>
                <w:sz w:val="28"/>
                <w:szCs w:val="28"/>
                <w:highlight w:val="none"/>
                <w:lang w:bidi="ar"/>
              </w:rPr>
              <w:t>9、USB接口*4</w:t>
            </w:r>
          </w:p>
        </w:tc>
      </w:tr>
      <w:tr w14:paraId="50726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27" w:type="pct"/>
            <w:shd w:val="clear" w:color="auto" w:fill="auto"/>
            <w:noWrap/>
            <w:vAlign w:val="center"/>
          </w:tcPr>
          <w:p w14:paraId="68930F55">
            <w:pPr>
              <w:keepNext w:val="0"/>
              <w:keepLines w:val="0"/>
              <w:pageBreakBefore w:val="0"/>
              <w:widowControl/>
              <w:shd w:val="clear"/>
              <w:kinsoku/>
              <w:wordWrap/>
              <w:overflowPunct/>
              <w:topLinePunct w:val="0"/>
              <w:autoSpaceDE/>
              <w:autoSpaceDN/>
              <w:bidi w:val="0"/>
              <w:adjustRightInd/>
              <w:snapToGrid/>
              <w:ind w:firstLine="0"/>
              <w:jc w:val="center"/>
              <w:textAlignment w:val="center"/>
              <w:rPr>
                <w:color w:val="000000"/>
                <w:sz w:val="28"/>
                <w:szCs w:val="28"/>
                <w:highlight w:val="none"/>
              </w:rPr>
            </w:pPr>
            <w:r>
              <w:rPr>
                <w:rFonts w:hint="eastAsia"/>
                <w:color w:val="000000"/>
                <w:kern w:val="0"/>
                <w:sz w:val="28"/>
                <w:szCs w:val="28"/>
                <w:highlight w:val="none"/>
                <w:lang w:bidi="ar"/>
              </w:rPr>
              <w:t>通讯协议</w:t>
            </w:r>
          </w:p>
        </w:tc>
        <w:tc>
          <w:tcPr>
            <w:tcW w:w="3472" w:type="pct"/>
            <w:shd w:val="clear" w:color="auto" w:fill="auto"/>
            <w:vAlign w:val="center"/>
          </w:tcPr>
          <w:p w14:paraId="6AEF7F4A">
            <w:pPr>
              <w:keepNext w:val="0"/>
              <w:keepLines w:val="0"/>
              <w:pageBreakBefore w:val="0"/>
              <w:widowControl/>
              <w:shd w:val="clear"/>
              <w:kinsoku/>
              <w:wordWrap/>
              <w:overflowPunct/>
              <w:topLinePunct w:val="0"/>
              <w:autoSpaceDE/>
              <w:autoSpaceDN/>
              <w:bidi w:val="0"/>
              <w:adjustRightInd/>
              <w:snapToGrid/>
              <w:ind w:firstLine="0"/>
              <w:jc w:val="left"/>
              <w:textAlignment w:val="center"/>
              <w:rPr>
                <w:rFonts w:hint="eastAsia"/>
                <w:color w:val="000000"/>
                <w:kern w:val="0"/>
                <w:sz w:val="28"/>
                <w:szCs w:val="28"/>
                <w:highlight w:val="none"/>
                <w:lang w:bidi="ar"/>
              </w:rPr>
            </w:pPr>
            <w:r>
              <w:rPr>
                <w:rFonts w:hint="eastAsia"/>
                <w:color w:val="000000"/>
                <w:kern w:val="0"/>
                <w:sz w:val="28"/>
                <w:szCs w:val="28"/>
                <w:highlight w:val="none"/>
                <w:lang w:bidi="ar"/>
              </w:rPr>
              <w:t>1、支持Modbus-RTU采集协议</w:t>
            </w:r>
          </w:p>
          <w:p w14:paraId="73602A9D">
            <w:pPr>
              <w:keepNext w:val="0"/>
              <w:keepLines w:val="0"/>
              <w:pageBreakBefore w:val="0"/>
              <w:widowControl/>
              <w:shd w:val="clear"/>
              <w:kinsoku/>
              <w:wordWrap/>
              <w:overflowPunct/>
              <w:topLinePunct w:val="0"/>
              <w:autoSpaceDE/>
              <w:autoSpaceDN/>
              <w:bidi w:val="0"/>
              <w:adjustRightInd/>
              <w:snapToGrid/>
              <w:ind w:firstLine="0"/>
              <w:jc w:val="left"/>
              <w:textAlignment w:val="center"/>
              <w:rPr>
                <w:rFonts w:hint="eastAsia"/>
                <w:color w:val="000000"/>
                <w:kern w:val="0"/>
                <w:sz w:val="28"/>
                <w:szCs w:val="28"/>
                <w:highlight w:val="none"/>
                <w:lang w:bidi="ar"/>
              </w:rPr>
            </w:pPr>
            <w:r>
              <w:rPr>
                <w:rFonts w:hint="eastAsia"/>
                <w:color w:val="000000"/>
                <w:kern w:val="0"/>
                <w:sz w:val="28"/>
                <w:szCs w:val="28"/>
                <w:highlight w:val="none"/>
                <w:lang w:bidi="ar"/>
              </w:rPr>
              <w:t>2、支持HJ212-2017通讯协议</w:t>
            </w:r>
          </w:p>
          <w:p w14:paraId="29032088">
            <w:pPr>
              <w:keepNext w:val="0"/>
              <w:keepLines w:val="0"/>
              <w:pageBreakBefore w:val="0"/>
              <w:widowControl/>
              <w:shd w:val="clear"/>
              <w:kinsoku/>
              <w:wordWrap/>
              <w:overflowPunct/>
              <w:topLinePunct w:val="0"/>
              <w:autoSpaceDE/>
              <w:autoSpaceDN/>
              <w:bidi w:val="0"/>
              <w:adjustRightInd/>
              <w:snapToGrid/>
              <w:ind w:firstLine="0"/>
              <w:jc w:val="left"/>
              <w:textAlignment w:val="center"/>
              <w:rPr>
                <w:rFonts w:hint="eastAsia"/>
                <w:color w:val="000000"/>
                <w:kern w:val="0"/>
                <w:sz w:val="28"/>
                <w:szCs w:val="28"/>
                <w:highlight w:val="none"/>
                <w:lang w:bidi="ar"/>
              </w:rPr>
            </w:pPr>
            <w:r>
              <w:rPr>
                <w:rFonts w:hint="eastAsia"/>
                <w:color w:val="000000"/>
                <w:kern w:val="0"/>
                <w:sz w:val="28"/>
                <w:szCs w:val="28"/>
                <w:highlight w:val="none"/>
                <w:lang w:bidi="ar"/>
              </w:rPr>
              <w:t>3、支持OPCDA通讯方式</w:t>
            </w:r>
          </w:p>
          <w:p w14:paraId="1C2E67DA">
            <w:pPr>
              <w:keepNext w:val="0"/>
              <w:keepLines w:val="0"/>
              <w:pageBreakBefore w:val="0"/>
              <w:widowControl/>
              <w:shd w:val="clear"/>
              <w:kinsoku/>
              <w:wordWrap/>
              <w:overflowPunct/>
              <w:topLinePunct w:val="0"/>
              <w:autoSpaceDE/>
              <w:autoSpaceDN/>
              <w:bidi w:val="0"/>
              <w:adjustRightInd/>
              <w:snapToGrid/>
              <w:ind w:firstLine="0"/>
              <w:jc w:val="left"/>
              <w:textAlignment w:val="center"/>
              <w:rPr>
                <w:rFonts w:hint="eastAsia"/>
                <w:color w:val="000000"/>
                <w:kern w:val="0"/>
                <w:sz w:val="28"/>
                <w:szCs w:val="28"/>
                <w:highlight w:val="none"/>
                <w:lang w:bidi="ar"/>
              </w:rPr>
            </w:pPr>
            <w:r>
              <w:rPr>
                <w:rFonts w:hint="eastAsia"/>
                <w:color w:val="000000"/>
                <w:kern w:val="0"/>
                <w:sz w:val="28"/>
                <w:szCs w:val="28"/>
                <w:highlight w:val="none"/>
                <w:lang w:bidi="ar"/>
              </w:rPr>
              <w:t>4、支持FMTCP通讯协议</w:t>
            </w:r>
          </w:p>
          <w:p w14:paraId="59720C8A">
            <w:pPr>
              <w:keepNext w:val="0"/>
              <w:keepLines w:val="0"/>
              <w:pageBreakBefore w:val="0"/>
              <w:widowControl/>
              <w:shd w:val="clear"/>
              <w:kinsoku/>
              <w:wordWrap/>
              <w:overflowPunct/>
              <w:topLinePunct w:val="0"/>
              <w:autoSpaceDE/>
              <w:autoSpaceDN/>
              <w:bidi w:val="0"/>
              <w:adjustRightInd/>
              <w:snapToGrid/>
              <w:ind w:firstLine="0"/>
              <w:jc w:val="left"/>
              <w:textAlignment w:val="center"/>
              <w:rPr>
                <w:color w:val="000000"/>
                <w:sz w:val="28"/>
                <w:szCs w:val="28"/>
                <w:highlight w:val="none"/>
              </w:rPr>
            </w:pPr>
            <w:r>
              <w:rPr>
                <w:rFonts w:hint="eastAsia"/>
                <w:color w:val="000000"/>
                <w:kern w:val="0"/>
                <w:sz w:val="28"/>
                <w:szCs w:val="28"/>
                <w:highlight w:val="none"/>
                <w:lang w:bidi="ar"/>
              </w:rPr>
              <w:t>5、支持S7TCP通讯协议</w:t>
            </w:r>
          </w:p>
        </w:tc>
      </w:tr>
    </w:tbl>
    <w:p w14:paraId="09B3E625">
      <w:pPr>
        <w:pStyle w:val="8"/>
        <w:keepNext w:val="0"/>
        <w:keepLines w:val="0"/>
        <w:pageBreakBefore w:val="0"/>
        <w:widowControl w:val="0"/>
        <w:shd w:val="clear"/>
        <w:kinsoku/>
        <w:wordWrap/>
        <w:overflowPunct/>
        <w:topLinePunct w:val="0"/>
        <w:autoSpaceDE/>
        <w:autoSpaceDN/>
        <w:bidi w:val="0"/>
        <w:adjustRightInd/>
        <w:snapToGrid/>
        <w:textAlignment w:val="auto"/>
        <w:outlineLvl w:val="3"/>
        <w:rPr>
          <w:rFonts w:hint="eastAsia" w:asciiTheme="majorEastAsia" w:hAnsiTheme="majorEastAsia" w:eastAsiaTheme="majorEastAsia" w:cstheme="majorEastAsia"/>
          <w:b/>
          <w:bCs/>
          <w:sz w:val="28"/>
          <w:szCs w:val="21"/>
          <w:highlight w:val="none"/>
          <w:lang w:val="en-US" w:eastAsia="zh-CN"/>
        </w:rPr>
      </w:pPr>
      <w:r>
        <w:rPr>
          <w:rFonts w:hint="eastAsia" w:asciiTheme="majorEastAsia" w:hAnsiTheme="majorEastAsia" w:eastAsiaTheme="majorEastAsia" w:cstheme="majorEastAsia"/>
          <w:b/>
          <w:bCs/>
          <w:sz w:val="28"/>
          <w:szCs w:val="21"/>
          <w:highlight w:val="none"/>
          <w:lang w:val="en-US" w:eastAsia="zh-CN"/>
        </w:rPr>
        <w:t>5.4.2工业数据边缘计算箱</w:t>
      </w:r>
    </w:p>
    <w:p w14:paraId="7B0D5F5A">
      <w:pPr>
        <w:shd w:val="clear"/>
        <w:tabs>
          <w:tab w:val="left" w:pos="1616"/>
        </w:tabs>
        <w:spacing w:line="360" w:lineRule="auto"/>
        <w:ind w:firstLine="560"/>
        <w:jc w:val="left"/>
        <w:rPr>
          <w:rFonts w:hint="eastAsia" w:asciiTheme="minorEastAsia" w:hAnsiTheme="minorEastAsia" w:cstheme="minorEastAsia"/>
          <w:b w:val="0"/>
          <w:kern w:val="2"/>
          <w:sz w:val="28"/>
          <w:szCs w:val="28"/>
          <w:highlight w:val="none"/>
          <w:lang w:val="en-US" w:eastAsia="zh-CN" w:bidi="ar-SA"/>
        </w:rPr>
      </w:pPr>
      <w:r>
        <w:rPr>
          <w:rFonts w:hint="eastAsia" w:asciiTheme="minorEastAsia" w:hAnsiTheme="minorEastAsia" w:cstheme="minorEastAsia"/>
          <w:b w:val="0"/>
          <w:kern w:val="2"/>
          <w:sz w:val="28"/>
          <w:szCs w:val="28"/>
          <w:highlight w:val="none"/>
          <w:lang w:val="en-US" w:eastAsia="zh-CN" w:bidi="ar-SA"/>
        </w:rPr>
        <w:t>（1）产品介绍</w:t>
      </w:r>
    </w:p>
    <w:p w14:paraId="3AE86C0C">
      <w:pPr>
        <w:shd w:val="clear"/>
        <w:tabs>
          <w:tab w:val="left" w:pos="1616"/>
        </w:tabs>
        <w:spacing w:line="360" w:lineRule="auto"/>
        <w:ind w:firstLine="560"/>
        <w:jc w:val="left"/>
        <w:rPr>
          <w:rFonts w:hint="eastAsia" w:asciiTheme="minorEastAsia" w:hAnsiTheme="minorEastAsia" w:cstheme="minorEastAsia"/>
          <w:b w:val="0"/>
          <w:kern w:val="2"/>
          <w:sz w:val="28"/>
          <w:szCs w:val="28"/>
          <w:highlight w:val="none"/>
          <w:lang w:val="en-US" w:eastAsia="zh-CN" w:bidi="ar-SA"/>
        </w:rPr>
      </w:pPr>
      <w:r>
        <w:rPr>
          <w:rFonts w:hint="eastAsia" w:asciiTheme="minorEastAsia" w:hAnsiTheme="minorEastAsia" w:cstheme="minorEastAsia"/>
          <w:b w:val="0"/>
          <w:kern w:val="2"/>
          <w:sz w:val="28"/>
          <w:szCs w:val="28"/>
          <w:highlight w:val="none"/>
          <w:lang w:val="en-US" w:eastAsia="zh-CN" w:bidi="ar-SA"/>
        </w:rPr>
        <w:t>工业数据边缘计算箱是一款高性能的数据采集设备，主要用于工业现场数据的实时采集、传输和处理。该设备具备强大的数据采集能力，可以支持多种不同类型的传感器和信号输入，包括模拟量、数字量、脉冲量等。同时，工业数据边缘计算箱还具备高速的数据处理能力，可以对采集到的数据进行实时分析、处理和存储，为工业现场的智能化监控和管理提供有力的支持。</w:t>
      </w:r>
    </w:p>
    <w:p w14:paraId="2C39E98A">
      <w:pPr>
        <w:shd w:val="clear"/>
        <w:tabs>
          <w:tab w:val="left" w:pos="1616"/>
        </w:tabs>
        <w:spacing w:line="360" w:lineRule="auto"/>
        <w:ind w:firstLine="560"/>
        <w:jc w:val="left"/>
        <w:rPr>
          <w:rFonts w:hint="eastAsia" w:asciiTheme="minorEastAsia" w:hAnsiTheme="minorEastAsia" w:cstheme="minorEastAsia"/>
          <w:b w:val="0"/>
          <w:kern w:val="2"/>
          <w:sz w:val="28"/>
          <w:szCs w:val="28"/>
          <w:highlight w:val="none"/>
          <w:lang w:val="en-US" w:eastAsia="zh-CN" w:bidi="ar-SA"/>
        </w:rPr>
      </w:pPr>
      <w:r>
        <w:rPr>
          <w:rFonts w:hint="eastAsia" w:asciiTheme="minorEastAsia" w:hAnsiTheme="minorEastAsia" w:cstheme="minorEastAsia"/>
          <w:b w:val="0"/>
          <w:kern w:val="2"/>
          <w:sz w:val="28"/>
          <w:szCs w:val="28"/>
          <w:highlight w:val="none"/>
          <w:lang w:val="en-US" w:eastAsia="zh-CN" w:bidi="ar-SA"/>
        </w:rPr>
        <w:t>工业数据边缘计算箱采用先进的嵌入式系统和通信技术，可以实现与各种工业设备和系统的无缝对接。通过配置不同的传感器和信号输入模块，工业数据边缘计算箱可以适应不同的工业现场环境和应用需求，为各种工业控制和自动化系统提供高效、稳定、可靠的数据采集服务。</w:t>
      </w:r>
    </w:p>
    <w:p w14:paraId="6AEBAB82">
      <w:pPr>
        <w:shd w:val="clear"/>
        <w:tabs>
          <w:tab w:val="left" w:pos="1616"/>
        </w:tabs>
        <w:spacing w:line="360" w:lineRule="auto"/>
        <w:ind w:firstLine="560"/>
        <w:jc w:val="left"/>
        <w:rPr>
          <w:rFonts w:hint="eastAsia" w:asciiTheme="minorEastAsia" w:hAnsiTheme="minorEastAsia" w:cstheme="minorEastAsia"/>
          <w:b w:val="0"/>
          <w:kern w:val="2"/>
          <w:sz w:val="28"/>
          <w:szCs w:val="28"/>
          <w:highlight w:val="none"/>
          <w:lang w:val="en-US" w:eastAsia="zh-CN" w:bidi="ar-SA"/>
        </w:rPr>
      </w:pPr>
      <w:r>
        <w:rPr>
          <w:rFonts w:hint="eastAsia" w:asciiTheme="minorEastAsia" w:hAnsiTheme="minorEastAsia" w:cstheme="minorEastAsia"/>
          <w:b w:val="0"/>
          <w:kern w:val="2"/>
          <w:sz w:val="28"/>
          <w:szCs w:val="28"/>
          <w:highlight w:val="none"/>
          <w:lang w:val="en-US" w:eastAsia="zh-CN" w:bidi="ar-SA"/>
        </w:rPr>
        <w:t>此外，工业数据边缘计算箱还具备多种通信接口和协议，可以方便地与其他设备进行数据交换和通信。同时，工业数据边缘计算箱还支持远程控制和配置，可以通过网络实现对设备的远程监控和管理，提高设备的可靠性和维护效率。</w:t>
      </w:r>
    </w:p>
    <w:p w14:paraId="143DBF29">
      <w:pPr>
        <w:shd w:val="clear"/>
        <w:tabs>
          <w:tab w:val="left" w:pos="1616"/>
        </w:tabs>
        <w:spacing w:line="360" w:lineRule="auto"/>
        <w:ind w:firstLine="560"/>
        <w:jc w:val="left"/>
        <w:rPr>
          <w:rFonts w:hint="eastAsia" w:asciiTheme="minorEastAsia" w:hAnsiTheme="minorEastAsia" w:cstheme="minorEastAsia"/>
          <w:b w:val="0"/>
          <w:kern w:val="2"/>
          <w:sz w:val="28"/>
          <w:szCs w:val="28"/>
          <w:highlight w:val="none"/>
          <w:lang w:val="en-US" w:eastAsia="zh-CN" w:bidi="ar-SA"/>
        </w:rPr>
      </w:pPr>
      <w:r>
        <w:rPr>
          <w:rFonts w:hint="eastAsia" w:asciiTheme="minorEastAsia" w:hAnsiTheme="minorEastAsia" w:cstheme="minorEastAsia"/>
          <w:b w:val="0"/>
          <w:kern w:val="2"/>
          <w:sz w:val="28"/>
          <w:szCs w:val="28"/>
          <w:highlight w:val="none"/>
          <w:lang w:val="en-US" w:eastAsia="zh-CN" w:bidi="ar-SA"/>
        </w:rPr>
        <w:t>工业数据边缘计算箱是一款功能强大、性能稳定、易于集成的数据采集设备，为工业现场的智能化监控和管理提供了重要的技术支持和保障。随着工业自动化和智能化水平的不断提高，工业数据边缘计算箱的应用前景将会更加广阔。</w:t>
      </w:r>
    </w:p>
    <w:p w14:paraId="69AF682E">
      <w:pPr>
        <w:shd w:val="clear"/>
        <w:tabs>
          <w:tab w:val="left" w:pos="1616"/>
        </w:tabs>
        <w:spacing w:line="360" w:lineRule="auto"/>
        <w:ind w:firstLine="560"/>
        <w:jc w:val="left"/>
        <w:rPr>
          <w:rFonts w:hint="eastAsia" w:asciiTheme="minorEastAsia" w:hAnsiTheme="minorEastAsia" w:cstheme="minorEastAsia"/>
          <w:b w:val="0"/>
          <w:kern w:val="2"/>
          <w:sz w:val="28"/>
          <w:szCs w:val="28"/>
          <w:highlight w:val="none"/>
          <w:lang w:val="en-US" w:eastAsia="zh-CN" w:bidi="ar-SA"/>
        </w:rPr>
      </w:pPr>
      <w:r>
        <w:rPr>
          <w:rFonts w:hint="eastAsia" w:asciiTheme="minorEastAsia" w:hAnsiTheme="minorEastAsia" w:cstheme="minorEastAsia"/>
          <w:b w:val="0"/>
          <w:kern w:val="2"/>
          <w:sz w:val="28"/>
          <w:szCs w:val="28"/>
          <w:highlight w:val="none"/>
          <w:lang w:val="en-US" w:eastAsia="zh-CN" w:bidi="ar-SA"/>
        </w:rPr>
        <w:t>主要功能应用：</w:t>
      </w:r>
    </w:p>
    <w:p w14:paraId="01872BA4">
      <w:pPr>
        <w:shd w:val="clear"/>
        <w:tabs>
          <w:tab w:val="left" w:pos="1616"/>
        </w:tabs>
        <w:spacing w:line="360" w:lineRule="auto"/>
        <w:ind w:firstLine="560"/>
        <w:jc w:val="left"/>
        <w:rPr>
          <w:rFonts w:hint="eastAsia" w:asciiTheme="minorEastAsia" w:hAnsiTheme="minorEastAsia" w:cstheme="minorEastAsia"/>
          <w:b w:val="0"/>
          <w:kern w:val="2"/>
          <w:sz w:val="28"/>
          <w:szCs w:val="28"/>
          <w:highlight w:val="none"/>
          <w:lang w:val="en-US" w:eastAsia="zh-CN" w:bidi="ar-SA"/>
        </w:rPr>
      </w:pPr>
      <w:r>
        <w:rPr>
          <w:rFonts w:hint="eastAsia" w:asciiTheme="minorEastAsia" w:hAnsiTheme="minorEastAsia" w:cstheme="minorEastAsia"/>
          <w:b w:val="0"/>
          <w:kern w:val="2"/>
          <w:sz w:val="28"/>
          <w:szCs w:val="28"/>
          <w:highlight w:val="none"/>
          <w:lang w:val="en-US" w:eastAsia="zh-CN" w:bidi="ar-SA"/>
        </w:rPr>
        <w:t>①数据采集：支持模拟量、数字量、脉冲量等多种信号输入类型；</w:t>
      </w:r>
    </w:p>
    <w:p w14:paraId="0F8BA738">
      <w:pPr>
        <w:shd w:val="clear"/>
        <w:tabs>
          <w:tab w:val="left" w:pos="1616"/>
        </w:tabs>
        <w:spacing w:line="360" w:lineRule="auto"/>
        <w:ind w:firstLine="560"/>
        <w:jc w:val="left"/>
        <w:rPr>
          <w:rFonts w:hint="eastAsia" w:asciiTheme="minorEastAsia" w:hAnsiTheme="minorEastAsia" w:cstheme="minorEastAsia"/>
          <w:b w:val="0"/>
          <w:kern w:val="2"/>
          <w:sz w:val="28"/>
          <w:szCs w:val="28"/>
          <w:highlight w:val="none"/>
          <w:lang w:val="en-US" w:eastAsia="zh-CN" w:bidi="ar-SA"/>
        </w:rPr>
      </w:pPr>
      <w:r>
        <w:rPr>
          <w:rFonts w:hint="eastAsia" w:asciiTheme="minorEastAsia" w:hAnsiTheme="minorEastAsia" w:cstheme="minorEastAsia"/>
          <w:b w:val="0"/>
          <w:kern w:val="2"/>
          <w:sz w:val="28"/>
          <w:szCs w:val="28"/>
          <w:highlight w:val="none"/>
          <w:lang w:val="en-US" w:eastAsia="zh-CN" w:bidi="ar-SA"/>
        </w:rPr>
        <w:t>②数据处理：具备高速数据处理能力，支持实时数据分析和处理；</w:t>
      </w:r>
    </w:p>
    <w:p w14:paraId="763991EB">
      <w:pPr>
        <w:shd w:val="clear"/>
        <w:tabs>
          <w:tab w:val="left" w:pos="1616"/>
        </w:tabs>
        <w:spacing w:line="360" w:lineRule="auto"/>
        <w:ind w:firstLine="560"/>
        <w:jc w:val="left"/>
        <w:rPr>
          <w:rFonts w:hint="eastAsia" w:asciiTheme="minorEastAsia" w:hAnsiTheme="minorEastAsia" w:cstheme="minorEastAsia"/>
          <w:b w:val="0"/>
          <w:kern w:val="2"/>
          <w:sz w:val="28"/>
          <w:szCs w:val="28"/>
          <w:highlight w:val="none"/>
          <w:lang w:val="en-US" w:eastAsia="zh-CN" w:bidi="ar-SA"/>
        </w:rPr>
      </w:pPr>
      <w:r>
        <w:rPr>
          <w:rFonts w:hint="eastAsia" w:asciiTheme="minorEastAsia" w:hAnsiTheme="minorEastAsia" w:cstheme="minorEastAsia"/>
          <w:b w:val="0"/>
          <w:kern w:val="2"/>
          <w:sz w:val="28"/>
          <w:szCs w:val="28"/>
          <w:highlight w:val="none"/>
          <w:lang w:val="en-US" w:eastAsia="zh-CN" w:bidi="ar-SA"/>
        </w:rPr>
        <w:t>③通信接口：支持多种通信接口和协议，如RS232、RS485、以太网等；</w:t>
      </w:r>
    </w:p>
    <w:p w14:paraId="2CA005E9">
      <w:pPr>
        <w:shd w:val="clear"/>
        <w:tabs>
          <w:tab w:val="left" w:pos="1616"/>
        </w:tabs>
        <w:spacing w:line="360" w:lineRule="auto"/>
        <w:ind w:firstLine="560"/>
        <w:jc w:val="left"/>
        <w:rPr>
          <w:rFonts w:hint="eastAsia" w:asciiTheme="minorEastAsia" w:hAnsiTheme="minorEastAsia" w:cstheme="minorEastAsia"/>
          <w:b w:val="0"/>
          <w:kern w:val="2"/>
          <w:sz w:val="28"/>
          <w:szCs w:val="28"/>
          <w:highlight w:val="none"/>
          <w:lang w:val="en-US" w:eastAsia="zh-CN" w:bidi="ar-SA"/>
        </w:rPr>
      </w:pPr>
      <w:r>
        <w:rPr>
          <w:rFonts w:hint="eastAsia" w:asciiTheme="minorEastAsia" w:hAnsiTheme="minorEastAsia" w:cstheme="minorEastAsia"/>
          <w:b w:val="0"/>
          <w:kern w:val="2"/>
          <w:sz w:val="28"/>
          <w:szCs w:val="28"/>
          <w:highlight w:val="none"/>
          <w:lang w:val="en-US" w:eastAsia="zh-CN" w:bidi="ar-SA"/>
        </w:rPr>
        <w:t>④电源供应：支持AC220V市电供应，同时具备宽电压范围输入能力；</w:t>
      </w:r>
    </w:p>
    <w:p w14:paraId="09E2413A">
      <w:pPr>
        <w:shd w:val="clear"/>
        <w:tabs>
          <w:tab w:val="left" w:pos="1616"/>
        </w:tabs>
        <w:spacing w:line="360" w:lineRule="auto"/>
        <w:ind w:firstLine="560"/>
        <w:jc w:val="left"/>
        <w:rPr>
          <w:rFonts w:hint="eastAsia" w:asciiTheme="minorEastAsia" w:hAnsiTheme="minorEastAsia" w:cstheme="minorEastAsia"/>
          <w:b w:val="0"/>
          <w:kern w:val="2"/>
          <w:sz w:val="28"/>
          <w:szCs w:val="28"/>
          <w:highlight w:val="none"/>
          <w:lang w:val="en-US" w:eastAsia="zh-CN" w:bidi="ar-SA"/>
        </w:rPr>
      </w:pPr>
      <w:r>
        <w:rPr>
          <w:rFonts w:hint="eastAsia" w:asciiTheme="minorEastAsia" w:hAnsiTheme="minorEastAsia" w:cstheme="minorEastAsia"/>
          <w:b w:val="0"/>
          <w:kern w:val="2"/>
          <w:sz w:val="28"/>
          <w:szCs w:val="28"/>
          <w:highlight w:val="none"/>
          <w:lang w:val="en-US" w:eastAsia="zh-CN" w:bidi="ar-SA"/>
        </w:rPr>
        <w:t>⑤防护等级：具备IP54防护等级，适应恶劣的工业现场环境。</w:t>
      </w:r>
    </w:p>
    <w:p w14:paraId="39028EA1">
      <w:pPr>
        <w:shd w:val="clear"/>
        <w:tabs>
          <w:tab w:val="left" w:pos="1616"/>
        </w:tabs>
        <w:spacing w:line="360" w:lineRule="auto"/>
        <w:ind w:firstLine="560"/>
        <w:jc w:val="left"/>
        <w:rPr>
          <w:rFonts w:hint="eastAsia" w:asciiTheme="minorEastAsia" w:hAnsiTheme="minorEastAsia" w:cstheme="minorEastAsia"/>
          <w:b w:val="0"/>
          <w:kern w:val="2"/>
          <w:sz w:val="28"/>
          <w:szCs w:val="28"/>
          <w:highlight w:val="none"/>
          <w:lang w:val="en-US" w:eastAsia="zh-CN" w:bidi="ar-SA"/>
        </w:rPr>
      </w:pPr>
      <w:r>
        <w:rPr>
          <w:rFonts w:hint="eastAsia" w:asciiTheme="minorEastAsia" w:hAnsiTheme="minorEastAsia" w:cstheme="minorEastAsia"/>
          <w:b w:val="0"/>
          <w:kern w:val="2"/>
          <w:sz w:val="28"/>
          <w:szCs w:val="28"/>
          <w:highlight w:val="none"/>
          <w:lang w:val="en-US" w:eastAsia="zh-CN" w:bidi="ar-SA"/>
        </w:rPr>
        <w:t>应用场景：</w:t>
      </w:r>
    </w:p>
    <w:p w14:paraId="0A978C65">
      <w:pPr>
        <w:shd w:val="clear"/>
        <w:tabs>
          <w:tab w:val="left" w:pos="1616"/>
        </w:tabs>
        <w:spacing w:line="360" w:lineRule="auto"/>
        <w:ind w:firstLine="560"/>
        <w:jc w:val="left"/>
        <w:rPr>
          <w:rFonts w:hint="eastAsia" w:asciiTheme="minorEastAsia" w:hAnsiTheme="minorEastAsia" w:cstheme="minorEastAsia"/>
          <w:b w:val="0"/>
          <w:kern w:val="2"/>
          <w:sz w:val="28"/>
          <w:szCs w:val="28"/>
          <w:highlight w:val="none"/>
          <w:lang w:val="en-US" w:eastAsia="zh-CN" w:bidi="ar-SA"/>
        </w:rPr>
      </w:pPr>
      <w:r>
        <w:rPr>
          <w:rFonts w:hint="eastAsia" w:asciiTheme="minorEastAsia" w:hAnsiTheme="minorEastAsia" w:cstheme="minorEastAsia"/>
          <w:b w:val="0"/>
          <w:kern w:val="2"/>
          <w:sz w:val="28"/>
          <w:szCs w:val="28"/>
          <w:highlight w:val="none"/>
          <w:lang w:val="en-US" w:eastAsia="zh-CN" w:bidi="ar-SA"/>
        </w:rPr>
        <w:t>工业数据边缘计算箱广泛应用于工业自动化、环保监测、能源管理、交通运输等领域。在工业自动化领域，工业数据边缘计算箱可以实现设备状态监测、工艺流程控制、生产数据分析等功能；在环保监测领域，工业数据边缘计算箱可以实时监测空气质量、水质污染等环境参数；在能源管理领域，工业数据边缘计算箱可以实现能源消耗监测、能效分析等功能；在交通运输领域，工业数据边缘计算箱可以实现车辆状态监测、道路交通流量统计等功能。</w:t>
      </w:r>
    </w:p>
    <w:p w14:paraId="5D95B12E">
      <w:pPr>
        <w:shd w:val="clear"/>
        <w:tabs>
          <w:tab w:val="left" w:pos="1616"/>
        </w:tabs>
        <w:spacing w:line="360" w:lineRule="auto"/>
        <w:ind w:firstLine="560"/>
        <w:jc w:val="left"/>
        <w:rPr>
          <w:rFonts w:hint="default" w:asciiTheme="minorEastAsia" w:hAnsiTheme="minorEastAsia" w:cstheme="minorEastAsia"/>
          <w:b w:val="0"/>
          <w:kern w:val="2"/>
          <w:sz w:val="28"/>
          <w:szCs w:val="28"/>
          <w:highlight w:val="none"/>
          <w:lang w:val="en-US" w:eastAsia="zh-CN" w:bidi="ar-SA"/>
        </w:rPr>
      </w:pPr>
      <w:r>
        <w:rPr>
          <w:rFonts w:hint="eastAsia" w:asciiTheme="minorEastAsia" w:hAnsiTheme="minorEastAsia" w:cstheme="minorEastAsia"/>
          <w:b w:val="0"/>
          <w:kern w:val="2"/>
          <w:sz w:val="28"/>
          <w:szCs w:val="28"/>
          <w:highlight w:val="none"/>
          <w:lang w:val="en-US" w:eastAsia="zh-CN" w:bidi="ar-SA"/>
        </w:rPr>
        <w:t>工业数据边缘计算箱作为工业自动化和智能化领域中的重要设备之一，其应用前景将会随着技术的不断发展和市场的不断扩大而更加广阔。</w:t>
      </w:r>
    </w:p>
    <w:p w14:paraId="0E7605EF">
      <w:pPr>
        <w:shd w:val="clear"/>
        <w:tabs>
          <w:tab w:val="left" w:pos="1616"/>
        </w:tabs>
        <w:spacing w:line="360" w:lineRule="auto"/>
        <w:ind w:firstLine="560"/>
        <w:jc w:val="left"/>
        <w:rPr>
          <w:rFonts w:hint="default" w:asciiTheme="minorEastAsia" w:hAnsiTheme="minorEastAsia" w:eastAsiaTheme="minorEastAsia" w:cstheme="minorEastAsia"/>
          <w:b w:val="0"/>
          <w:color w:val="auto"/>
          <w:kern w:val="2"/>
          <w:sz w:val="28"/>
          <w:szCs w:val="28"/>
          <w:highlight w:val="none"/>
          <w:lang w:val="en-US" w:eastAsia="zh-CN" w:bidi="ar-SA"/>
        </w:rPr>
      </w:pPr>
      <w:r>
        <w:rPr>
          <w:rFonts w:hint="eastAsia" w:asciiTheme="minorEastAsia" w:hAnsiTheme="minorEastAsia" w:cstheme="minorEastAsia"/>
          <w:b w:val="0"/>
          <w:color w:val="auto"/>
          <w:kern w:val="2"/>
          <w:sz w:val="28"/>
          <w:szCs w:val="28"/>
          <w:highlight w:val="none"/>
          <w:lang w:val="en-US" w:eastAsia="zh-CN" w:bidi="ar-SA"/>
        </w:rPr>
        <w:t>（2）技术参数</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56"/>
        <w:gridCol w:w="5271"/>
      </w:tblGrid>
      <w:tr w14:paraId="4A074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945" w:type="pct"/>
            <w:shd w:val="clear" w:color="auto" w:fill="auto"/>
            <w:noWrap/>
            <w:vAlign w:val="center"/>
          </w:tcPr>
          <w:p w14:paraId="34A54021">
            <w:pPr>
              <w:keepNext w:val="0"/>
              <w:keepLines w:val="0"/>
              <w:pageBreakBefore w:val="0"/>
              <w:widowControl/>
              <w:shd w:val="clear"/>
              <w:kinsoku/>
              <w:wordWrap/>
              <w:overflowPunct/>
              <w:topLinePunct w:val="0"/>
              <w:autoSpaceDE/>
              <w:autoSpaceDN/>
              <w:bidi w:val="0"/>
              <w:adjustRightInd/>
              <w:snapToGrid/>
              <w:ind w:firstLine="0" w:firstLineChars="0"/>
              <w:jc w:val="center"/>
              <w:textAlignment w:val="center"/>
              <w:rPr>
                <w:rFonts w:hint="eastAsia" w:asciiTheme="minorHAnsi" w:hAnsiTheme="minorHAnsi" w:eastAsiaTheme="minorEastAsia" w:cstheme="minorBidi"/>
                <w:color w:val="000000"/>
                <w:kern w:val="0"/>
                <w:sz w:val="28"/>
                <w:szCs w:val="28"/>
                <w:highlight w:val="none"/>
                <w:lang w:val="en-US" w:eastAsia="zh-CN" w:bidi="ar"/>
              </w:rPr>
            </w:pPr>
            <w:r>
              <w:rPr>
                <w:rFonts w:hint="eastAsia"/>
                <w:color w:val="000000"/>
                <w:kern w:val="0"/>
                <w:sz w:val="28"/>
                <w:szCs w:val="28"/>
                <w:highlight w:val="none"/>
                <w:lang w:val="en-US" w:eastAsia="zh-CN" w:bidi="ar"/>
              </w:rPr>
              <w:t>项目名称</w:t>
            </w:r>
          </w:p>
        </w:tc>
        <w:tc>
          <w:tcPr>
            <w:tcW w:w="3054" w:type="pct"/>
            <w:shd w:val="clear" w:color="auto" w:fill="auto"/>
            <w:vAlign w:val="center"/>
          </w:tcPr>
          <w:p w14:paraId="113CFF6C">
            <w:pPr>
              <w:keepNext w:val="0"/>
              <w:keepLines w:val="0"/>
              <w:pageBreakBefore w:val="0"/>
              <w:widowControl/>
              <w:shd w:val="clear"/>
              <w:kinsoku/>
              <w:wordWrap/>
              <w:overflowPunct/>
              <w:topLinePunct w:val="0"/>
              <w:autoSpaceDE/>
              <w:autoSpaceDN/>
              <w:bidi w:val="0"/>
              <w:adjustRightInd/>
              <w:snapToGrid/>
              <w:ind w:firstLine="0" w:firstLineChars="0"/>
              <w:jc w:val="center"/>
              <w:textAlignment w:val="center"/>
              <w:rPr>
                <w:rFonts w:hint="eastAsia" w:asciiTheme="minorHAnsi" w:hAnsiTheme="minorHAnsi" w:eastAsiaTheme="minorEastAsia" w:cstheme="minorBidi"/>
                <w:color w:val="000000"/>
                <w:kern w:val="0"/>
                <w:sz w:val="28"/>
                <w:szCs w:val="28"/>
                <w:highlight w:val="none"/>
                <w:lang w:val="en-US" w:eastAsia="zh-CN" w:bidi="ar"/>
              </w:rPr>
            </w:pPr>
            <w:r>
              <w:rPr>
                <w:rFonts w:hint="eastAsia"/>
                <w:color w:val="000000"/>
                <w:kern w:val="0"/>
                <w:sz w:val="28"/>
                <w:szCs w:val="28"/>
                <w:highlight w:val="none"/>
                <w:lang w:val="en-US" w:eastAsia="zh-CN" w:bidi="ar"/>
              </w:rPr>
              <w:t>参数指标</w:t>
            </w:r>
          </w:p>
        </w:tc>
      </w:tr>
      <w:tr w14:paraId="77286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945" w:type="pct"/>
            <w:shd w:val="clear" w:color="auto" w:fill="auto"/>
            <w:noWrap/>
            <w:vAlign w:val="center"/>
          </w:tcPr>
          <w:p w14:paraId="42D0AB33">
            <w:pPr>
              <w:pStyle w:val="8"/>
              <w:keepNext w:val="0"/>
              <w:keepLines w:val="0"/>
              <w:pageBreakBefore w:val="0"/>
              <w:widowControl w:val="0"/>
              <w:shd w:val="clear"/>
              <w:kinsoku/>
              <w:wordWrap/>
              <w:overflowPunct/>
              <w:topLinePunct w:val="0"/>
              <w:autoSpaceDE/>
              <w:autoSpaceDN/>
              <w:bidi w:val="0"/>
              <w:adjustRightInd/>
              <w:snapToGrid/>
              <w:ind w:firstLine="0" w:firstLineChars="0"/>
              <w:jc w:val="center"/>
              <w:textAlignment w:val="auto"/>
              <w:rPr>
                <w:rFonts w:hint="eastAsia" w:ascii="Times New Roman" w:hAnsi="Times New Roman" w:eastAsia="仿宋" w:cs="Times New Roman"/>
                <w:color w:val="000000"/>
                <w:kern w:val="0"/>
                <w:sz w:val="28"/>
                <w:szCs w:val="28"/>
                <w:highlight w:val="none"/>
                <w:lang w:val="en-US" w:eastAsia="zh-CN" w:bidi="ar"/>
              </w:rPr>
            </w:pPr>
            <w:r>
              <w:rPr>
                <w:rFonts w:hint="eastAsia" w:ascii="Times New Roman" w:hAnsi="Times New Roman" w:eastAsia="仿宋" w:cs="Times New Roman"/>
                <w:color w:val="000000"/>
                <w:kern w:val="0"/>
                <w:sz w:val="28"/>
                <w:szCs w:val="28"/>
                <w:highlight w:val="none"/>
                <w:lang w:val="en-US" w:eastAsia="zh-CN" w:bidi="ar"/>
              </w:rPr>
              <w:t>核心系统</w:t>
            </w:r>
          </w:p>
        </w:tc>
        <w:tc>
          <w:tcPr>
            <w:tcW w:w="3054" w:type="pct"/>
            <w:shd w:val="clear" w:color="auto" w:fill="auto"/>
            <w:vAlign w:val="center"/>
          </w:tcPr>
          <w:p w14:paraId="35412EF5">
            <w:pPr>
              <w:pStyle w:val="8"/>
              <w:keepNext w:val="0"/>
              <w:keepLines w:val="0"/>
              <w:pageBreakBefore w:val="0"/>
              <w:widowControl w:val="0"/>
              <w:shd w:val="clear"/>
              <w:kinsoku/>
              <w:wordWrap/>
              <w:overflowPunct/>
              <w:topLinePunct w:val="0"/>
              <w:autoSpaceDE/>
              <w:autoSpaceDN/>
              <w:bidi w:val="0"/>
              <w:adjustRightInd/>
              <w:snapToGrid/>
              <w:ind w:firstLine="0" w:firstLineChars="0"/>
              <w:textAlignment w:val="auto"/>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1、处理器架构：ARM</w:t>
            </w:r>
          </w:p>
          <w:p w14:paraId="39130C1A">
            <w:pPr>
              <w:pStyle w:val="8"/>
              <w:keepNext w:val="0"/>
              <w:keepLines w:val="0"/>
              <w:pageBreakBefore w:val="0"/>
              <w:widowControl w:val="0"/>
              <w:shd w:val="clear"/>
              <w:kinsoku/>
              <w:wordWrap/>
              <w:overflowPunct/>
              <w:topLinePunct w:val="0"/>
              <w:autoSpaceDE/>
              <w:autoSpaceDN/>
              <w:bidi w:val="0"/>
              <w:adjustRightInd/>
              <w:snapToGrid/>
              <w:ind w:firstLine="0" w:firstLineChars="0"/>
              <w:textAlignment w:val="auto"/>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2、操作系统：Linux或RT-Thread</w:t>
            </w:r>
          </w:p>
        </w:tc>
      </w:tr>
      <w:tr w14:paraId="712E4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945" w:type="pct"/>
            <w:shd w:val="clear" w:color="auto" w:fill="auto"/>
            <w:noWrap/>
            <w:vAlign w:val="center"/>
          </w:tcPr>
          <w:p w14:paraId="6B7C5F83">
            <w:pPr>
              <w:pStyle w:val="8"/>
              <w:keepNext w:val="0"/>
              <w:keepLines w:val="0"/>
              <w:pageBreakBefore w:val="0"/>
              <w:widowControl w:val="0"/>
              <w:shd w:val="clear"/>
              <w:kinsoku/>
              <w:wordWrap/>
              <w:overflowPunct/>
              <w:topLinePunct w:val="0"/>
              <w:autoSpaceDE/>
              <w:autoSpaceDN/>
              <w:bidi w:val="0"/>
              <w:adjustRightInd/>
              <w:snapToGrid/>
              <w:ind w:firstLine="0" w:firstLineChars="0"/>
              <w:jc w:val="center"/>
              <w:textAlignment w:val="auto"/>
              <w:rPr>
                <w:rFonts w:hint="eastAsia" w:ascii="Times New Roman" w:hAnsi="Times New Roman" w:eastAsia="仿宋" w:cs="Times New Roman"/>
                <w:color w:val="000000"/>
                <w:kern w:val="0"/>
                <w:sz w:val="28"/>
                <w:szCs w:val="28"/>
                <w:highlight w:val="none"/>
                <w:lang w:val="en-US" w:eastAsia="zh-CN" w:bidi="ar"/>
              </w:rPr>
            </w:pPr>
            <w:r>
              <w:rPr>
                <w:rFonts w:hint="eastAsia" w:ascii="Times New Roman" w:hAnsi="Times New Roman" w:eastAsia="仿宋" w:cs="Times New Roman"/>
                <w:color w:val="000000"/>
                <w:kern w:val="0"/>
                <w:sz w:val="28"/>
                <w:szCs w:val="28"/>
                <w:highlight w:val="none"/>
                <w:lang w:val="en-US" w:eastAsia="zh-CN" w:bidi="ar"/>
              </w:rPr>
              <w:t>业务功能</w:t>
            </w:r>
          </w:p>
        </w:tc>
        <w:tc>
          <w:tcPr>
            <w:tcW w:w="3054" w:type="pct"/>
            <w:shd w:val="clear" w:color="auto" w:fill="auto"/>
            <w:vAlign w:val="center"/>
          </w:tcPr>
          <w:p w14:paraId="10F88452">
            <w:pPr>
              <w:pStyle w:val="8"/>
              <w:keepNext w:val="0"/>
              <w:keepLines w:val="0"/>
              <w:pageBreakBefore w:val="0"/>
              <w:widowControl w:val="0"/>
              <w:shd w:val="clear"/>
              <w:kinsoku/>
              <w:wordWrap/>
              <w:overflowPunct/>
              <w:topLinePunct w:val="0"/>
              <w:autoSpaceDE/>
              <w:autoSpaceDN/>
              <w:bidi w:val="0"/>
              <w:adjustRightInd/>
              <w:snapToGrid/>
              <w:ind w:firstLine="0" w:firstLineChars="0"/>
              <w:textAlignment w:val="auto"/>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1、MESH组网：支持基于无线传输的MESH组网功能；</w:t>
            </w:r>
          </w:p>
          <w:p w14:paraId="274C61FE">
            <w:pPr>
              <w:pStyle w:val="8"/>
              <w:keepNext w:val="0"/>
              <w:keepLines w:val="0"/>
              <w:pageBreakBefore w:val="0"/>
              <w:widowControl w:val="0"/>
              <w:shd w:val="clear"/>
              <w:kinsoku/>
              <w:wordWrap/>
              <w:overflowPunct/>
              <w:topLinePunct w:val="0"/>
              <w:autoSpaceDE/>
              <w:autoSpaceDN/>
              <w:bidi w:val="0"/>
              <w:adjustRightInd/>
              <w:snapToGrid/>
              <w:ind w:firstLine="0" w:firstLineChars="0"/>
              <w:textAlignment w:val="auto"/>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2、无线透传功能：支持主从设备间通过无线到串口的数据透传功能</w:t>
            </w:r>
          </w:p>
        </w:tc>
      </w:tr>
      <w:tr w14:paraId="6CA2E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945" w:type="pct"/>
            <w:shd w:val="clear" w:color="auto" w:fill="auto"/>
            <w:noWrap/>
            <w:vAlign w:val="center"/>
          </w:tcPr>
          <w:p w14:paraId="43199429">
            <w:pPr>
              <w:pStyle w:val="8"/>
              <w:keepNext w:val="0"/>
              <w:keepLines w:val="0"/>
              <w:pageBreakBefore w:val="0"/>
              <w:widowControl w:val="0"/>
              <w:shd w:val="clear"/>
              <w:kinsoku/>
              <w:wordWrap/>
              <w:overflowPunct/>
              <w:topLinePunct w:val="0"/>
              <w:autoSpaceDE/>
              <w:autoSpaceDN/>
              <w:bidi w:val="0"/>
              <w:adjustRightInd/>
              <w:snapToGrid/>
              <w:ind w:firstLine="0" w:firstLineChars="0"/>
              <w:jc w:val="center"/>
              <w:textAlignment w:val="auto"/>
              <w:rPr>
                <w:rFonts w:hint="eastAsia" w:ascii="Times New Roman" w:hAnsi="Times New Roman" w:eastAsia="仿宋" w:cs="Times New Roman"/>
                <w:color w:val="000000"/>
                <w:kern w:val="0"/>
                <w:sz w:val="28"/>
                <w:szCs w:val="28"/>
                <w:highlight w:val="none"/>
                <w:lang w:val="en-US" w:eastAsia="zh-CN" w:bidi="ar"/>
              </w:rPr>
            </w:pPr>
            <w:r>
              <w:rPr>
                <w:rFonts w:hint="eastAsia" w:ascii="Times New Roman" w:hAnsi="Times New Roman" w:eastAsia="仿宋" w:cs="Times New Roman"/>
                <w:color w:val="000000"/>
                <w:kern w:val="0"/>
                <w:sz w:val="28"/>
                <w:szCs w:val="28"/>
                <w:highlight w:val="none"/>
                <w:lang w:val="en-US" w:eastAsia="zh-CN" w:bidi="ar"/>
              </w:rPr>
              <w:t>采集、输出单元</w:t>
            </w:r>
          </w:p>
        </w:tc>
        <w:tc>
          <w:tcPr>
            <w:tcW w:w="3054" w:type="pct"/>
            <w:shd w:val="clear" w:color="auto" w:fill="auto"/>
            <w:vAlign w:val="center"/>
          </w:tcPr>
          <w:p w14:paraId="4C9FCC1D">
            <w:pPr>
              <w:pStyle w:val="8"/>
              <w:keepNext w:val="0"/>
              <w:keepLines w:val="0"/>
              <w:pageBreakBefore w:val="0"/>
              <w:widowControl w:val="0"/>
              <w:shd w:val="clear"/>
              <w:kinsoku/>
              <w:wordWrap/>
              <w:overflowPunct/>
              <w:topLinePunct w:val="0"/>
              <w:autoSpaceDE/>
              <w:autoSpaceDN/>
              <w:bidi w:val="0"/>
              <w:adjustRightInd/>
              <w:snapToGrid/>
              <w:ind w:firstLine="0" w:firstLineChars="0"/>
              <w:textAlignment w:val="auto"/>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1、模拟量采集：支持0-20mA电流信号采集，精度0.1%F·S</w:t>
            </w:r>
          </w:p>
          <w:p w14:paraId="5446BA4B">
            <w:pPr>
              <w:pStyle w:val="8"/>
              <w:keepNext w:val="0"/>
              <w:keepLines w:val="0"/>
              <w:pageBreakBefore w:val="0"/>
              <w:widowControl w:val="0"/>
              <w:shd w:val="clear"/>
              <w:kinsoku/>
              <w:wordWrap/>
              <w:overflowPunct/>
              <w:topLinePunct w:val="0"/>
              <w:autoSpaceDE/>
              <w:autoSpaceDN/>
              <w:bidi w:val="0"/>
              <w:adjustRightInd/>
              <w:snapToGrid/>
              <w:ind w:firstLine="0" w:firstLineChars="0"/>
              <w:textAlignment w:val="auto"/>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2、开关量采集：支持无源开关量采集</w:t>
            </w:r>
          </w:p>
          <w:p w14:paraId="67BA6D9B">
            <w:pPr>
              <w:pStyle w:val="8"/>
              <w:keepNext w:val="0"/>
              <w:keepLines w:val="0"/>
              <w:pageBreakBefore w:val="0"/>
              <w:widowControl w:val="0"/>
              <w:shd w:val="clear"/>
              <w:kinsoku/>
              <w:wordWrap/>
              <w:overflowPunct/>
              <w:topLinePunct w:val="0"/>
              <w:autoSpaceDE/>
              <w:autoSpaceDN/>
              <w:bidi w:val="0"/>
              <w:adjustRightInd/>
              <w:snapToGrid/>
              <w:ind w:firstLine="0" w:firstLineChars="0"/>
              <w:textAlignment w:val="auto"/>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3、继电器输出：支持继电器控制信号输出，容量5A@AC220V</w:t>
            </w:r>
          </w:p>
        </w:tc>
      </w:tr>
      <w:tr w14:paraId="10A3E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945" w:type="pct"/>
            <w:shd w:val="clear" w:color="auto" w:fill="auto"/>
            <w:noWrap/>
            <w:vAlign w:val="center"/>
          </w:tcPr>
          <w:p w14:paraId="7A11BC56">
            <w:pPr>
              <w:pStyle w:val="8"/>
              <w:keepNext w:val="0"/>
              <w:keepLines w:val="0"/>
              <w:pageBreakBefore w:val="0"/>
              <w:widowControl w:val="0"/>
              <w:shd w:val="clear"/>
              <w:kinsoku/>
              <w:wordWrap/>
              <w:overflowPunct/>
              <w:topLinePunct w:val="0"/>
              <w:autoSpaceDE/>
              <w:autoSpaceDN/>
              <w:bidi w:val="0"/>
              <w:adjustRightInd/>
              <w:snapToGrid/>
              <w:ind w:firstLine="0" w:firstLineChars="0"/>
              <w:jc w:val="center"/>
              <w:textAlignment w:val="auto"/>
              <w:rPr>
                <w:rFonts w:hint="eastAsia" w:ascii="Times New Roman" w:hAnsi="Times New Roman" w:eastAsia="仿宋" w:cs="Times New Roman"/>
                <w:color w:val="000000"/>
                <w:kern w:val="0"/>
                <w:sz w:val="28"/>
                <w:szCs w:val="28"/>
                <w:highlight w:val="none"/>
                <w:lang w:val="en-US" w:eastAsia="zh-CN" w:bidi="ar"/>
              </w:rPr>
            </w:pPr>
            <w:r>
              <w:rPr>
                <w:rFonts w:hint="eastAsia" w:ascii="Times New Roman" w:hAnsi="Times New Roman" w:eastAsia="仿宋" w:cs="Times New Roman"/>
                <w:color w:val="000000"/>
                <w:kern w:val="0"/>
                <w:sz w:val="28"/>
                <w:szCs w:val="28"/>
                <w:highlight w:val="none"/>
                <w:lang w:val="en-US" w:eastAsia="zh-CN" w:bidi="ar"/>
              </w:rPr>
              <w:t>传输单元</w:t>
            </w:r>
          </w:p>
        </w:tc>
        <w:tc>
          <w:tcPr>
            <w:tcW w:w="3054" w:type="pct"/>
            <w:shd w:val="clear" w:color="auto" w:fill="auto"/>
            <w:vAlign w:val="center"/>
          </w:tcPr>
          <w:p w14:paraId="5B0BD77C">
            <w:pPr>
              <w:pStyle w:val="8"/>
              <w:keepNext w:val="0"/>
              <w:keepLines w:val="0"/>
              <w:pageBreakBefore w:val="0"/>
              <w:widowControl w:val="0"/>
              <w:shd w:val="clear"/>
              <w:kinsoku/>
              <w:wordWrap/>
              <w:overflowPunct/>
              <w:topLinePunct w:val="0"/>
              <w:autoSpaceDE/>
              <w:autoSpaceDN/>
              <w:bidi w:val="0"/>
              <w:adjustRightInd/>
              <w:snapToGrid/>
              <w:ind w:firstLine="0" w:firstLineChars="0"/>
              <w:textAlignment w:val="auto"/>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1、支持RS485串口通讯</w:t>
            </w:r>
          </w:p>
          <w:p w14:paraId="09B83EDA">
            <w:pPr>
              <w:pStyle w:val="8"/>
              <w:keepNext w:val="0"/>
              <w:keepLines w:val="0"/>
              <w:pageBreakBefore w:val="0"/>
              <w:widowControl w:val="0"/>
              <w:shd w:val="clear"/>
              <w:kinsoku/>
              <w:wordWrap/>
              <w:overflowPunct/>
              <w:topLinePunct w:val="0"/>
              <w:autoSpaceDE/>
              <w:autoSpaceDN/>
              <w:bidi w:val="0"/>
              <w:adjustRightInd/>
              <w:snapToGrid/>
              <w:ind w:firstLine="0" w:firstLineChars="0"/>
              <w:textAlignment w:val="auto"/>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2、支持RS232串口通讯</w:t>
            </w:r>
            <w:r>
              <w:rPr>
                <w:rFonts w:hint="eastAsia" w:ascii="Times New Roman" w:hAnsi="Times New Roman" w:cs="Times New Roman"/>
                <w:sz w:val="28"/>
                <w:szCs w:val="21"/>
                <w:highlight w:val="none"/>
                <w:lang w:val="en-US" w:eastAsia="zh-CN"/>
              </w:rPr>
              <w:br w:type="textWrapping"/>
            </w:r>
            <w:r>
              <w:rPr>
                <w:rFonts w:hint="eastAsia" w:ascii="Times New Roman" w:hAnsi="Times New Roman" w:cs="Times New Roman"/>
                <w:sz w:val="28"/>
                <w:szCs w:val="21"/>
                <w:highlight w:val="none"/>
                <w:lang w:val="en-US" w:eastAsia="zh-CN"/>
              </w:rPr>
              <w:t>3、支持LORA无线通讯</w:t>
            </w:r>
          </w:p>
        </w:tc>
      </w:tr>
      <w:tr w14:paraId="21E9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945" w:type="pct"/>
            <w:shd w:val="clear" w:color="auto" w:fill="auto"/>
            <w:noWrap/>
            <w:vAlign w:val="center"/>
          </w:tcPr>
          <w:p w14:paraId="6C20A125">
            <w:pPr>
              <w:pStyle w:val="8"/>
              <w:keepNext w:val="0"/>
              <w:keepLines w:val="0"/>
              <w:pageBreakBefore w:val="0"/>
              <w:widowControl w:val="0"/>
              <w:shd w:val="clear"/>
              <w:kinsoku/>
              <w:wordWrap/>
              <w:overflowPunct/>
              <w:topLinePunct w:val="0"/>
              <w:autoSpaceDE/>
              <w:autoSpaceDN/>
              <w:bidi w:val="0"/>
              <w:adjustRightInd/>
              <w:snapToGrid/>
              <w:ind w:firstLine="0" w:firstLineChars="0"/>
              <w:jc w:val="center"/>
              <w:textAlignment w:val="auto"/>
              <w:rPr>
                <w:rFonts w:hint="eastAsia" w:ascii="Times New Roman" w:hAnsi="Times New Roman" w:eastAsia="仿宋" w:cs="Times New Roman"/>
                <w:color w:val="000000"/>
                <w:kern w:val="0"/>
                <w:sz w:val="28"/>
                <w:szCs w:val="28"/>
                <w:highlight w:val="none"/>
                <w:lang w:val="en-US" w:eastAsia="zh-CN" w:bidi="ar"/>
              </w:rPr>
            </w:pPr>
            <w:r>
              <w:rPr>
                <w:rFonts w:hint="eastAsia" w:ascii="Times New Roman" w:hAnsi="Times New Roman" w:eastAsia="仿宋" w:cs="Times New Roman"/>
                <w:color w:val="000000"/>
                <w:kern w:val="0"/>
                <w:sz w:val="28"/>
                <w:szCs w:val="28"/>
                <w:highlight w:val="none"/>
                <w:lang w:val="en-US" w:eastAsia="zh-CN" w:bidi="ar"/>
              </w:rPr>
              <w:t>结构单元</w:t>
            </w:r>
          </w:p>
        </w:tc>
        <w:tc>
          <w:tcPr>
            <w:tcW w:w="3054" w:type="pct"/>
            <w:shd w:val="clear" w:color="auto" w:fill="auto"/>
            <w:vAlign w:val="center"/>
          </w:tcPr>
          <w:p w14:paraId="32C34659">
            <w:pPr>
              <w:pStyle w:val="8"/>
              <w:keepNext w:val="0"/>
              <w:keepLines w:val="0"/>
              <w:pageBreakBefore w:val="0"/>
              <w:widowControl w:val="0"/>
              <w:shd w:val="clear"/>
              <w:kinsoku/>
              <w:wordWrap/>
              <w:overflowPunct/>
              <w:topLinePunct w:val="0"/>
              <w:autoSpaceDE/>
              <w:autoSpaceDN/>
              <w:bidi w:val="0"/>
              <w:adjustRightInd/>
              <w:snapToGrid/>
              <w:ind w:firstLine="0" w:firstLineChars="0"/>
              <w:textAlignment w:val="auto"/>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1、支持挂墙安装方式</w:t>
            </w:r>
          </w:p>
          <w:p w14:paraId="2F797271">
            <w:pPr>
              <w:pStyle w:val="8"/>
              <w:keepNext w:val="0"/>
              <w:keepLines w:val="0"/>
              <w:pageBreakBefore w:val="0"/>
              <w:widowControl w:val="0"/>
              <w:shd w:val="clear"/>
              <w:kinsoku/>
              <w:wordWrap/>
              <w:overflowPunct/>
              <w:topLinePunct w:val="0"/>
              <w:autoSpaceDE/>
              <w:autoSpaceDN/>
              <w:bidi w:val="0"/>
              <w:adjustRightInd/>
              <w:snapToGrid/>
              <w:ind w:firstLine="0" w:firstLineChars="0"/>
              <w:textAlignment w:val="auto"/>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2、外壳具备散热孔，保证设备平稳运行</w:t>
            </w:r>
          </w:p>
          <w:p w14:paraId="303B33F6">
            <w:pPr>
              <w:pStyle w:val="8"/>
              <w:keepNext w:val="0"/>
              <w:keepLines w:val="0"/>
              <w:pageBreakBefore w:val="0"/>
              <w:widowControl w:val="0"/>
              <w:shd w:val="clear"/>
              <w:kinsoku/>
              <w:wordWrap/>
              <w:overflowPunct/>
              <w:topLinePunct w:val="0"/>
              <w:autoSpaceDE/>
              <w:autoSpaceDN/>
              <w:bidi w:val="0"/>
              <w:adjustRightInd/>
              <w:snapToGrid/>
              <w:ind w:firstLine="0" w:firstLineChars="0"/>
              <w:textAlignment w:val="auto"/>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3、防护等级：IP54</w:t>
            </w:r>
          </w:p>
        </w:tc>
      </w:tr>
      <w:tr w14:paraId="4D9A6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945" w:type="pct"/>
            <w:shd w:val="clear" w:color="auto" w:fill="auto"/>
            <w:noWrap/>
            <w:vAlign w:val="center"/>
          </w:tcPr>
          <w:p w14:paraId="36BAC380">
            <w:pPr>
              <w:pStyle w:val="8"/>
              <w:keepNext w:val="0"/>
              <w:keepLines w:val="0"/>
              <w:pageBreakBefore w:val="0"/>
              <w:widowControl w:val="0"/>
              <w:shd w:val="clear"/>
              <w:kinsoku/>
              <w:wordWrap/>
              <w:overflowPunct/>
              <w:topLinePunct w:val="0"/>
              <w:autoSpaceDE/>
              <w:autoSpaceDN/>
              <w:bidi w:val="0"/>
              <w:adjustRightInd/>
              <w:snapToGrid/>
              <w:ind w:firstLine="0" w:firstLineChars="0"/>
              <w:jc w:val="center"/>
              <w:textAlignment w:val="auto"/>
              <w:rPr>
                <w:rFonts w:hint="eastAsia" w:ascii="Times New Roman" w:hAnsi="Times New Roman" w:eastAsia="仿宋" w:cs="Times New Roman"/>
                <w:color w:val="000000"/>
                <w:kern w:val="0"/>
                <w:sz w:val="28"/>
                <w:szCs w:val="28"/>
                <w:highlight w:val="none"/>
                <w:lang w:val="en-US" w:eastAsia="zh-CN" w:bidi="ar"/>
              </w:rPr>
            </w:pPr>
            <w:r>
              <w:rPr>
                <w:rFonts w:hint="eastAsia" w:ascii="Times New Roman" w:hAnsi="Times New Roman" w:eastAsia="仿宋" w:cs="Times New Roman"/>
                <w:color w:val="000000"/>
                <w:kern w:val="0"/>
                <w:sz w:val="28"/>
                <w:szCs w:val="28"/>
                <w:highlight w:val="none"/>
                <w:lang w:val="en-US" w:eastAsia="zh-CN" w:bidi="ar"/>
              </w:rPr>
              <w:t>电源单元</w:t>
            </w:r>
          </w:p>
        </w:tc>
        <w:tc>
          <w:tcPr>
            <w:tcW w:w="3054" w:type="pct"/>
            <w:shd w:val="clear" w:color="auto" w:fill="auto"/>
            <w:vAlign w:val="center"/>
          </w:tcPr>
          <w:p w14:paraId="3F7E5E46">
            <w:pPr>
              <w:pStyle w:val="8"/>
              <w:keepNext w:val="0"/>
              <w:keepLines w:val="0"/>
              <w:pageBreakBefore w:val="0"/>
              <w:widowControl w:val="0"/>
              <w:shd w:val="clear"/>
              <w:kinsoku/>
              <w:wordWrap/>
              <w:overflowPunct/>
              <w:topLinePunct w:val="0"/>
              <w:autoSpaceDE/>
              <w:autoSpaceDN/>
              <w:bidi w:val="0"/>
              <w:adjustRightInd/>
              <w:snapToGrid/>
              <w:ind w:firstLine="0" w:firstLineChars="0"/>
              <w:textAlignment w:val="auto"/>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1、电源接入：支持AC220V市电供应</w:t>
            </w:r>
          </w:p>
          <w:p w14:paraId="5AC69EF9">
            <w:pPr>
              <w:pStyle w:val="8"/>
              <w:keepNext w:val="0"/>
              <w:keepLines w:val="0"/>
              <w:pageBreakBefore w:val="0"/>
              <w:widowControl w:val="0"/>
              <w:shd w:val="clear"/>
              <w:kinsoku/>
              <w:wordWrap/>
              <w:overflowPunct/>
              <w:topLinePunct w:val="0"/>
              <w:autoSpaceDE/>
              <w:autoSpaceDN/>
              <w:bidi w:val="0"/>
              <w:adjustRightInd/>
              <w:snapToGrid/>
              <w:ind w:firstLine="0" w:firstLineChars="0"/>
              <w:textAlignment w:val="auto"/>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2、电源防护：具备防雷电路、过载保护</w:t>
            </w:r>
          </w:p>
          <w:p w14:paraId="5CD27346">
            <w:pPr>
              <w:pStyle w:val="8"/>
              <w:keepNext w:val="0"/>
              <w:keepLines w:val="0"/>
              <w:pageBreakBefore w:val="0"/>
              <w:widowControl w:val="0"/>
              <w:shd w:val="clear"/>
              <w:kinsoku/>
              <w:wordWrap/>
              <w:overflowPunct/>
              <w:topLinePunct w:val="0"/>
              <w:autoSpaceDE/>
              <w:autoSpaceDN/>
              <w:bidi w:val="0"/>
              <w:adjustRightInd/>
              <w:snapToGrid/>
              <w:ind w:firstLine="0" w:firstLineChars="0"/>
              <w:textAlignment w:val="auto"/>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3、电源供应：支持对外电源供应，DC24V，总功率120W</w:t>
            </w:r>
          </w:p>
        </w:tc>
      </w:tr>
      <w:tr w14:paraId="38A8B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945" w:type="pct"/>
            <w:shd w:val="clear" w:color="auto" w:fill="auto"/>
            <w:noWrap/>
            <w:vAlign w:val="center"/>
          </w:tcPr>
          <w:p w14:paraId="669A6553">
            <w:pPr>
              <w:pStyle w:val="8"/>
              <w:keepNext w:val="0"/>
              <w:keepLines w:val="0"/>
              <w:pageBreakBefore w:val="0"/>
              <w:widowControl w:val="0"/>
              <w:shd w:val="clear"/>
              <w:kinsoku/>
              <w:wordWrap/>
              <w:overflowPunct/>
              <w:topLinePunct w:val="0"/>
              <w:autoSpaceDE/>
              <w:autoSpaceDN/>
              <w:bidi w:val="0"/>
              <w:adjustRightInd/>
              <w:snapToGrid/>
              <w:ind w:firstLine="0" w:firstLineChars="0"/>
              <w:jc w:val="center"/>
              <w:textAlignment w:val="auto"/>
              <w:rPr>
                <w:rFonts w:hint="eastAsia" w:ascii="Times New Roman" w:hAnsi="Times New Roman" w:eastAsia="仿宋" w:cs="Times New Roman"/>
                <w:color w:val="000000"/>
                <w:kern w:val="0"/>
                <w:sz w:val="28"/>
                <w:szCs w:val="28"/>
                <w:highlight w:val="none"/>
                <w:lang w:val="en-US" w:eastAsia="zh-CN" w:bidi="ar"/>
              </w:rPr>
            </w:pPr>
            <w:r>
              <w:rPr>
                <w:rFonts w:hint="eastAsia" w:ascii="Times New Roman" w:hAnsi="Times New Roman" w:eastAsia="仿宋" w:cs="Times New Roman"/>
                <w:color w:val="000000"/>
                <w:kern w:val="0"/>
                <w:sz w:val="28"/>
                <w:szCs w:val="28"/>
                <w:highlight w:val="none"/>
                <w:lang w:val="en-US" w:eastAsia="zh-CN" w:bidi="ar"/>
              </w:rPr>
              <w:t>外围接口</w:t>
            </w:r>
          </w:p>
        </w:tc>
        <w:tc>
          <w:tcPr>
            <w:tcW w:w="3054" w:type="pct"/>
            <w:shd w:val="clear" w:color="auto" w:fill="auto"/>
            <w:vAlign w:val="center"/>
          </w:tcPr>
          <w:p w14:paraId="69378F2A">
            <w:pPr>
              <w:pStyle w:val="8"/>
              <w:keepNext w:val="0"/>
              <w:keepLines w:val="0"/>
              <w:pageBreakBefore w:val="0"/>
              <w:widowControl w:val="0"/>
              <w:shd w:val="clear"/>
              <w:kinsoku/>
              <w:wordWrap/>
              <w:overflowPunct/>
              <w:topLinePunct w:val="0"/>
              <w:autoSpaceDE/>
              <w:autoSpaceDN/>
              <w:bidi w:val="0"/>
              <w:adjustRightInd/>
              <w:snapToGrid/>
              <w:ind w:firstLine="0" w:firstLineChars="0"/>
              <w:textAlignment w:val="auto"/>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1、工业隔离RS232接口*1，DB9形式</w:t>
            </w:r>
          </w:p>
          <w:p w14:paraId="59B70175">
            <w:pPr>
              <w:pStyle w:val="8"/>
              <w:keepNext w:val="0"/>
              <w:keepLines w:val="0"/>
              <w:pageBreakBefore w:val="0"/>
              <w:widowControl w:val="0"/>
              <w:shd w:val="clear"/>
              <w:kinsoku/>
              <w:wordWrap/>
              <w:overflowPunct/>
              <w:topLinePunct w:val="0"/>
              <w:autoSpaceDE/>
              <w:autoSpaceDN/>
              <w:bidi w:val="0"/>
              <w:adjustRightInd/>
              <w:snapToGrid/>
              <w:ind w:firstLine="0" w:firstLineChars="0"/>
              <w:textAlignment w:val="auto"/>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2、工业隔离RS485接口*2</w:t>
            </w:r>
          </w:p>
          <w:p w14:paraId="5D81DBAD">
            <w:pPr>
              <w:pStyle w:val="8"/>
              <w:keepNext w:val="0"/>
              <w:keepLines w:val="0"/>
              <w:pageBreakBefore w:val="0"/>
              <w:widowControl w:val="0"/>
              <w:shd w:val="clear"/>
              <w:kinsoku/>
              <w:wordWrap/>
              <w:overflowPunct/>
              <w:topLinePunct w:val="0"/>
              <w:autoSpaceDE/>
              <w:autoSpaceDN/>
              <w:bidi w:val="0"/>
              <w:adjustRightInd/>
              <w:snapToGrid/>
              <w:ind w:firstLine="0" w:firstLineChars="0"/>
              <w:textAlignment w:val="auto"/>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3、LORA通讯接口*1，发射功率1W</w:t>
            </w:r>
          </w:p>
          <w:p w14:paraId="761B8752">
            <w:pPr>
              <w:pStyle w:val="8"/>
              <w:keepNext w:val="0"/>
              <w:keepLines w:val="0"/>
              <w:pageBreakBefore w:val="0"/>
              <w:widowControl w:val="0"/>
              <w:shd w:val="clear"/>
              <w:kinsoku/>
              <w:wordWrap/>
              <w:overflowPunct/>
              <w:topLinePunct w:val="0"/>
              <w:autoSpaceDE/>
              <w:autoSpaceDN/>
              <w:bidi w:val="0"/>
              <w:adjustRightInd/>
              <w:snapToGrid/>
              <w:ind w:firstLine="0" w:firstLineChars="0"/>
              <w:textAlignment w:val="auto"/>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4、模拟量采集接口*10,</w:t>
            </w:r>
          </w:p>
          <w:p w14:paraId="1C29F1CD">
            <w:pPr>
              <w:pStyle w:val="8"/>
              <w:keepNext w:val="0"/>
              <w:keepLines w:val="0"/>
              <w:pageBreakBefore w:val="0"/>
              <w:widowControl w:val="0"/>
              <w:shd w:val="clear"/>
              <w:kinsoku/>
              <w:wordWrap/>
              <w:overflowPunct/>
              <w:topLinePunct w:val="0"/>
              <w:autoSpaceDE/>
              <w:autoSpaceDN/>
              <w:bidi w:val="0"/>
              <w:adjustRightInd/>
              <w:snapToGrid/>
              <w:ind w:firstLine="0" w:firstLineChars="0"/>
              <w:textAlignment w:val="auto"/>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5、开关量采集接口*8</w:t>
            </w:r>
          </w:p>
          <w:p w14:paraId="30991461">
            <w:pPr>
              <w:pStyle w:val="8"/>
              <w:keepNext w:val="0"/>
              <w:keepLines w:val="0"/>
              <w:pageBreakBefore w:val="0"/>
              <w:widowControl w:val="0"/>
              <w:shd w:val="clear"/>
              <w:kinsoku/>
              <w:wordWrap/>
              <w:overflowPunct/>
              <w:topLinePunct w:val="0"/>
              <w:autoSpaceDE/>
              <w:autoSpaceDN/>
              <w:bidi w:val="0"/>
              <w:adjustRightInd/>
              <w:snapToGrid/>
              <w:ind w:firstLine="0" w:firstLineChars="0"/>
              <w:textAlignment w:val="auto"/>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6、继电器输出接口*4</w:t>
            </w:r>
          </w:p>
          <w:p w14:paraId="14C39858">
            <w:pPr>
              <w:pStyle w:val="8"/>
              <w:keepNext w:val="0"/>
              <w:keepLines w:val="0"/>
              <w:pageBreakBefore w:val="0"/>
              <w:widowControl w:val="0"/>
              <w:shd w:val="clear"/>
              <w:kinsoku/>
              <w:wordWrap/>
              <w:overflowPunct/>
              <w:topLinePunct w:val="0"/>
              <w:autoSpaceDE/>
              <w:autoSpaceDN/>
              <w:bidi w:val="0"/>
              <w:adjustRightInd/>
              <w:snapToGrid/>
              <w:ind w:firstLine="0" w:firstLineChars="0"/>
              <w:textAlignment w:val="auto"/>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7、DC24V电源供应接口*10</w:t>
            </w:r>
          </w:p>
        </w:tc>
      </w:tr>
      <w:tr w14:paraId="36656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945" w:type="pct"/>
            <w:shd w:val="clear" w:color="auto" w:fill="auto"/>
            <w:noWrap/>
            <w:vAlign w:val="center"/>
          </w:tcPr>
          <w:p w14:paraId="3929CF36">
            <w:pPr>
              <w:pStyle w:val="8"/>
              <w:keepNext w:val="0"/>
              <w:keepLines w:val="0"/>
              <w:pageBreakBefore w:val="0"/>
              <w:widowControl w:val="0"/>
              <w:shd w:val="clear"/>
              <w:kinsoku/>
              <w:wordWrap/>
              <w:overflowPunct/>
              <w:topLinePunct w:val="0"/>
              <w:autoSpaceDE/>
              <w:autoSpaceDN/>
              <w:bidi w:val="0"/>
              <w:adjustRightInd/>
              <w:snapToGrid/>
              <w:ind w:firstLine="0" w:firstLineChars="0"/>
              <w:jc w:val="center"/>
              <w:textAlignment w:val="auto"/>
              <w:rPr>
                <w:rFonts w:hint="eastAsia" w:ascii="Times New Roman" w:hAnsi="Times New Roman" w:eastAsia="仿宋" w:cs="Times New Roman"/>
                <w:color w:val="000000"/>
                <w:kern w:val="0"/>
                <w:sz w:val="28"/>
                <w:szCs w:val="28"/>
                <w:highlight w:val="none"/>
                <w:lang w:val="en-US" w:eastAsia="zh-CN" w:bidi="ar"/>
              </w:rPr>
            </w:pPr>
            <w:r>
              <w:rPr>
                <w:rFonts w:hint="eastAsia" w:ascii="Times New Roman" w:hAnsi="Times New Roman" w:eastAsia="仿宋" w:cs="Times New Roman"/>
                <w:color w:val="000000"/>
                <w:kern w:val="0"/>
                <w:sz w:val="28"/>
                <w:szCs w:val="28"/>
                <w:highlight w:val="none"/>
                <w:lang w:val="en-US" w:eastAsia="zh-CN" w:bidi="ar"/>
              </w:rPr>
              <w:t>通讯协议</w:t>
            </w:r>
          </w:p>
        </w:tc>
        <w:tc>
          <w:tcPr>
            <w:tcW w:w="3054" w:type="pct"/>
            <w:shd w:val="clear" w:color="auto" w:fill="auto"/>
            <w:noWrap/>
            <w:vAlign w:val="center"/>
          </w:tcPr>
          <w:p w14:paraId="53701A6C">
            <w:pPr>
              <w:pStyle w:val="8"/>
              <w:keepNext w:val="0"/>
              <w:keepLines w:val="0"/>
              <w:pageBreakBefore w:val="0"/>
              <w:widowControl w:val="0"/>
              <w:shd w:val="clear"/>
              <w:kinsoku/>
              <w:wordWrap/>
              <w:overflowPunct/>
              <w:topLinePunct w:val="0"/>
              <w:autoSpaceDE/>
              <w:autoSpaceDN/>
              <w:bidi w:val="0"/>
              <w:adjustRightInd/>
              <w:snapToGrid/>
              <w:ind w:firstLine="0" w:firstLineChars="0"/>
              <w:textAlignment w:val="auto"/>
              <w:rPr>
                <w:rFonts w:hint="eastAsia" w:ascii="Times New Roman" w:hAnsi="Times New Roman" w:cs="Times New Roman"/>
                <w:sz w:val="28"/>
                <w:szCs w:val="21"/>
                <w:highlight w:val="none"/>
                <w:lang w:val="en-US" w:eastAsia="zh-CN"/>
              </w:rPr>
            </w:pPr>
            <w:r>
              <w:rPr>
                <w:rFonts w:hint="eastAsia" w:ascii="Times New Roman" w:hAnsi="Times New Roman" w:cs="Times New Roman"/>
                <w:sz w:val="28"/>
                <w:szCs w:val="21"/>
                <w:highlight w:val="none"/>
                <w:lang w:val="en-US" w:eastAsia="zh-CN"/>
              </w:rPr>
              <w:t>支持Modbus-RTU采集协议</w:t>
            </w:r>
          </w:p>
        </w:tc>
      </w:tr>
    </w:tbl>
    <w:p w14:paraId="20F0E250">
      <w:pPr>
        <w:pStyle w:val="8"/>
        <w:keepNext w:val="0"/>
        <w:keepLines w:val="0"/>
        <w:pageBreakBefore w:val="0"/>
        <w:widowControl w:val="0"/>
        <w:shd w:val="clear"/>
        <w:kinsoku/>
        <w:wordWrap/>
        <w:overflowPunct/>
        <w:topLinePunct w:val="0"/>
        <w:autoSpaceDE/>
        <w:autoSpaceDN/>
        <w:bidi w:val="0"/>
        <w:adjustRightInd/>
        <w:snapToGrid/>
        <w:textAlignment w:val="auto"/>
        <w:outlineLvl w:val="1"/>
        <w:rPr>
          <w:rFonts w:hint="default" w:ascii="宋体" w:hAnsi="宋体" w:eastAsia="宋体" w:cs="宋体"/>
          <w:b/>
          <w:bCs/>
          <w:sz w:val="28"/>
          <w:szCs w:val="21"/>
          <w:highlight w:val="none"/>
          <w:lang w:val="en-US" w:eastAsia="zh-CN"/>
        </w:rPr>
      </w:pPr>
      <w:bookmarkStart w:id="34" w:name="_Toc18716"/>
      <w:r>
        <w:rPr>
          <w:rFonts w:hint="eastAsia" w:ascii="宋体" w:hAnsi="宋体" w:eastAsia="宋体" w:cs="宋体"/>
          <w:b/>
          <w:bCs/>
          <w:sz w:val="28"/>
          <w:szCs w:val="21"/>
          <w:highlight w:val="none"/>
          <w:lang w:val="en-US" w:eastAsia="zh-CN"/>
        </w:rPr>
        <w:t>5.5项目实施计划</w:t>
      </w:r>
      <w:bookmarkEnd w:id="34"/>
    </w:p>
    <w:p w14:paraId="78D4264E">
      <w:pPr>
        <w:pStyle w:val="8"/>
        <w:keepNext w:val="0"/>
        <w:keepLines w:val="0"/>
        <w:pageBreakBefore w:val="0"/>
        <w:widowControl w:val="0"/>
        <w:shd w:val="clear"/>
        <w:kinsoku/>
        <w:wordWrap/>
        <w:overflowPunct/>
        <w:topLinePunct w:val="0"/>
        <w:autoSpaceDE/>
        <w:autoSpaceDN/>
        <w:bidi w:val="0"/>
        <w:adjustRightInd/>
        <w:snapToGrid/>
        <w:textAlignment w:val="auto"/>
        <w:outlineLvl w:val="3"/>
        <w:rPr>
          <w:rFonts w:hint="eastAsia" w:asciiTheme="majorEastAsia" w:hAnsiTheme="majorEastAsia" w:eastAsiaTheme="majorEastAsia" w:cstheme="majorEastAsia"/>
          <w:b/>
          <w:bCs/>
          <w:sz w:val="28"/>
          <w:szCs w:val="21"/>
          <w:highlight w:val="none"/>
          <w:lang w:val="en-US" w:eastAsia="zh-CN"/>
        </w:rPr>
      </w:pPr>
      <w:r>
        <w:rPr>
          <w:rFonts w:hint="eastAsia" w:asciiTheme="majorEastAsia" w:hAnsiTheme="majorEastAsia" w:eastAsiaTheme="majorEastAsia" w:cstheme="majorEastAsia"/>
          <w:b/>
          <w:bCs/>
          <w:sz w:val="28"/>
          <w:szCs w:val="21"/>
          <w:highlight w:val="none"/>
          <w:lang w:val="en-US" w:eastAsia="zh-CN"/>
        </w:rPr>
        <w:t>5.5.1时间计划</w:t>
      </w:r>
    </w:p>
    <w:p w14:paraId="1803EC22">
      <w:pPr>
        <w:pStyle w:val="12"/>
        <w:shd w:val="clear"/>
        <w:ind w:firstLine="480"/>
        <w:rPr>
          <w:rFonts w:hint="eastAsia" w:ascii="仿宋" w:hAnsi="仿宋" w:cs="仿宋"/>
          <w:kern w:val="2"/>
          <w:sz w:val="28"/>
          <w:szCs w:val="21"/>
          <w:highlight w:val="none"/>
          <w:lang w:val="en-US" w:eastAsia="zh-CN" w:bidi="ar-SA"/>
        </w:rPr>
      </w:pPr>
      <w:r>
        <w:rPr>
          <w:rFonts w:hint="eastAsia" w:ascii="仿宋" w:hAnsi="仿宋" w:cs="仿宋"/>
          <w:kern w:val="2"/>
          <w:sz w:val="28"/>
          <w:szCs w:val="21"/>
          <w:highlight w:val="none"/>
          <w:lang w:val="en-US" w:eastAsia="zh-CN" w:bidi="ar-SA"/>
        </w:rPr>
        <w:t>（1） 前期准备（2024年7月-2024年9月）：完成项目前期手续、资金保障、招投标等工作。</w:t>
      </w:r>
    </w:p>
    <w:p w14:paraId="56470F62">
      <w:pPr>
        <w:pStyle w:val="12"/>
        <w:shd w:val="clear"/>
        <w:ind w:firstLine="480"/>
        <w:rPr>
          <w:rFonts w:hint="eastAsia" w:ascii="仿宋" w:hAnsi="仿宋" w:cs="仿宋"/>
          <w:kern w:val="2"/>
          <w:sz w:val="28"/>
          <w:szCs w:val="21"/>
          <w:highlight w:val="none"/>
          <w:lang w:val="en-US" w:eastAsia="zh-CN" w:bidi="ar-SA"/>
        </w:rPr>
      </w:pPr>
      <w:r>
        <w:rPr>
          <w:rFonts w:hint="eastAsia" w:ascii="仿宋" w:hAnsi="仿宋" w:cs="仿宋"/>
          <w:kern w:val="2"/>
          <w:sz w:val="28"/>
          <w:szCs w:val="21"/>
          <w:highlight w:val="none"/>
          <w:lang w:val="en-US" w:eastAsia="zh-CN" w:bidi="ar-SA"/>
        </w:rPr>
        <w:t>（2） 部署与实施阶段（2024年9月-2024年12月）：完成项目的定点、安装、调试等工作。</w:t>
      </w:r>
    </w:p>
    <w:p w14:paraId="7E06BA80">
      <w:pPr>
        <w:pStyle w:val="8"/>
        <w:keepNext w:val="0"/>
        <w:keepLines w:val="0"/>
        <w:pageBreakBefore w:val="0"/>
        <w:widowControl w:val="0"/>
        <w:shd w:val="clear"/>
        <w:kinsoku/>
        <w:wordWrap/>
        <w:overflowPunct/>
        <w:topLinePunct w:val="0"/>
        <w:autoSpaceDE/>
        <w:autoSpaceDN/>
        <w:bidi w:val="0"/>
        <w:adjustRightInd/>
        <w:snapToGrid/>
        <w:textAlignment w:val="auto"/>
        <w:outlineLvl w:val="3"/>
        <w:rPr>
          <w:rFonts w:hint="eastAsia" w:asciiTheme="majorEastAsia" w:hAnsiTheme="majorEastAsia" w:eastAsiaTheme="majorEastAsia" w:cstheme="majorEastAsia"/>
          <w:b/>
          <w:bCs/>
          <w:sz w:val="28"/>
          <w:szCs w:val="21"/>
          <w:highlight w:val="none"/>
          <w:lang w:val="en-US" w:eastAsia="zh-CN"/>
        </w:rPr>
      </w:pPr>
      <w:r>
        <w:rPr>
          <w:rFonts w:hint="eastAsia" w:asciiTheme="majorEastAsia" w:hAnsiTheme="majorEastAsia" w:eastAsiaTheme="majorEastAsia" w:cstheme="majorEastAsia"/>
          <w:b/>
          <w:bCs/>
          <w:sz w:val="28"/>
          <w:szCs w:val="21"/>
          <w:highlight w:val="none"/>
          <w:lang w:val="en-US" w:eastAsia="zh-CN"/>
        </w:rPr>
        <w:t>5.5.2资源安排</w:t>
      </w:r>
    </w:p>
    <w:p w14:paraId="7A8246A8">
      <w:pPr>
        <w:pStyle w:val="12"/>
        <w:shd w:val="clear"/>
        <w:ind w:firstLine="480"/>
        <w:rPr>
          <w:rFonts w:hint="eastAsia" w:ascii="仿宋" w:hAnsi="仿宋" w:cs="仿宋"/>
          <w:kern w:val="2"/>
          <w:sz w:val="28"/>
          <w:szCs w:val="21"/>
          <w:highlight w:val="none"/>
          <w:lang w:val="en-US" w:eastAsia="zh-CN" w:bidi="ar-SA"/>
        </w:rPr>
      </w:pPr>
      <w:r>
        <w:rPr>
          <w:rFonts w:hint="eastAsia" w:ascii="仿宋" w:hAnsi="仿宋" w:cs="仿宋"/>
          <w:kern w:val="2"/>
          <w:sz w:val="28"/>
          <w:szCs w:val="21"/>
          <w:highlight w:val="none"/>
          <w:lang w:val="en-US" w:eastAsia="zh-CN" w:bidi="ar-SA"/>
        </w:rPr>
        <w:t>本项目所需资源包括人力资源、物资资源和技术资源。具体安排如下：</w:t>
      </w:r>
    </w:p>
    <w:p w14:paraId="72079ACF">
      <w:pPr>
        <w:pStyle w:val="12"/>
        <w:shd w:val="clear"/>
        <w:ind w:firstLine="480"/>
        <w:rPr>
          <w:rFonts w:hint="eastAsia" w:ascii="仿宋" w:hAnsi="仿宋" w:cs="仿宋"/>
          <w:kern w:val="2"/>
          <w:sz w:val="28"/>
          <w:szCs w:val="21"/>
          <w:highlight w:val="none"/>
          <w:lang w:val="en-US" w:eastAsia="zh-CN" w:bidi="ar-SA"/>
        </w:rPr>
      </w:pPr>
      <w:r>
        <w:rPr>
          <w:rFonts w:hint="eastAsia" w:ascii="仿宋" w:hAnsi="仿宋" w:cs="仿宋"/>
          <w:kern w:val="2"/>
          <w:sz w:val="28"/>
          <w:szCs w:val="21"/>
          <w:highlight w:val="none"/>
          <w:lang w:val="en-US" w:eastAsia="zh-CN" w:bidi="ar-SA"/>
        </w:rPr>
        <w:t>（1） 人力资源：根据项目需求和团队成员的技能特长，合理分配工作任务，确保项目团队的协同工作能力。</w:t>
      </w:r>
    </w:p>
    <w:p w14:paraId="519D7A5A">
      <w:pPr>
        <w:pStyle w:val="12"/>
        <w:shd w:val="clear"/>
        <w:ind w:firstLine="480"/>
        <w:rPr>
          <w:rFonts w:hint="eastAsia" w:ascii="仿宋" w:hAnsi="仿宋" w:cs="仿宋"/>
          <w:kern w:val="2"/>
          <w:sz w:val="28"/>
          <w:szCs w:val="21"/>
          <w:highlight w:val="none"/>
          <w:lang w:val="en-US" w:eastAsia="zh-CN" w:bidi="ar-SA"/>
        </w:rPr>
      </w:pPr>
      <w:r>
        <w:rPr>
          <w:rFonts w:hint="eastAsia" w:ascii="仿宋" w:hAnsi="仿宋" w:cs="仿宋"/>
          <w:kern w:val="2"/>
          <w:sz w:val="28"/>
          <w:szCs w:val="21"/>
          <w:highlight w:val="none"/>
          <w:lang w:val="en-US" w:eastAsia="zh-CN" w:bidi="ar-SA"/>
        </w:rPr>
        <w:t>（2） 物资资源：根据项目需求，采购所需的设备、材料等物资，确保项目实施的物资保障。</w:t>
      </w:r>
    </w:p>
    <w:p w14:paraId="6F925166">
      <w:pPr>
        <w:pStyle w:val="12"/>
        <w:shd w:val="clear"/>
        <w:ind w:firstLine="480"/>
        <w:rPr>
          <w:rFonts w:hint="eastAsia" w:ascii="仿宋" w:hAnsi="仿宋" w:cs="仿宋"/>
          <w:kern w:val="2"/>
          <w:sz w:val="28"/>
          <w:szCs w:val="21"/>
          <w:highlight w:val="none"/>
          <w:lang w:val="en-US" w:eastAsia="zh-CN" w:bidi="ar-SA"/>
        </w:rPr>
      </w:pPr>
      <w:r>
        <w:rPr>
          <w:rFonts w:hint="eastAsia" w:ascii="仿宋" w:hAnsi="仿宋" w:cs="仿宋"/>
          <w:kern w:val="2"/>
          <w:sz w:val="28"/>
          <w:szCs w:val="21"/>
          <w:highlight w:val="none"/>
          <w:lang w:val="en-US" w:eastAsia="zh-CN" w:bidi="ar-SA"/>
        </w:rPr>
        <w:t>（3） 技术资源：根据项目需求，采用合适的技术和工具，确保项目实施的技术支持。</w:t>
      </w:r>
    </w:p>
    <w:p w14:paraId="0040AD07">
      <w:pPr>
        <w:pStyle w:val="8"/>
        <w:keepNext w:val="0"/>
        <w:keepLines w:val="0"/>
        <w:pageBreakBefore w:val="0"/>
        <w:widowControl w:val="0"/>
        <w:shd w:val="clear"/>
        <w:kinsoku/>
        <w:wordWrap/>
        <w:overflowPunct/>
        <w:topLinePunct w:val="0"/>
        <w:autoSpaceDE/>
        <w:autoSpaceDN/>
        <w:bidi w:val="0"/>
        <w:adjustRightInd/>
        <w:snapToGrid/>
        <w:textAlignment w:val="auto"/>
        <w:outlineLvl w:val="3"/>
        <w:rPr>
          <w:rFonts w:hint="eastAsia" w:asciiTheme="majorEastAsia" w:hAnsiTheme="majorEastAsia" w:eastAsiaTheme="majorEastAsia" w:cstheme="majorEastAsia"/>
          <w:b/>
          <w:bCs/>
          <w:sz w:val="28"/>
          <w:szCs w:val="21"/>
          <w:highlight w:val="none"/>
          <w:lang w:val="en-US" w:eastAsia="zh-CN"/>
        </w:rPr>
      </w:pPr>
      <w:r>
        <w:rPr>
          <w:rFonts w:hint="eastAsia" w:asciiTheme="majorEastAsia" w:hAnsiTheme="majorEastAsia" w:eastAsiaTheme="majorEastAsia" w:cstheme="majorEastAsia"/>
          <w:b/>
          <w:bCs/>
          <w:sz w:val="28"/>
          <w:szCs w:val="21"/>
          <w:highlight w:val="none"/>
          <w:lang w:val="en-US" w:eastAsia="zh-CN"/>
        </w:rPr>
        <w:t>5.5.3风险管理</w:t>
      </w:r>
    </w:p>
    <w:p w14:paraId="3FCA695D">
      <w:pPr>
        <w:pStyle w:val="12"/>
        <w:shd w:val="clear"/>
        <w:ind w:firstLine="480"/>
        <w:rPr>
          <w:rFonts w:hint="eastAsia" w:ascii="仿宋" w:hAnsi="仿宋" w:cs="仿宋"/>
          <w:kern w:val="2"/>
          <w:sz w:val="28"/>
          <w:szCs w:val="21"/>
          <w:highlight w:val="none"/>
          <w:lang w:val="en-US" w:eastAsia="zh-CN" w:bidi="ar-SA"/>
        </w:rPr>
      </w:pPr>
      <w:r>
        <w:rPr>
          <w:rFonts w:hint="eastAsia" w:ascii="仿宋" w:hAnsi="仿宋" w:cs="仿宋"/>
          <w:kern w:val="2"/>
          <w:sz w:val="28"/>
          <w:szCs w:val="21"/>
          <w:highlight w:val="none"/>
          <w:lang w:val="en-US" w:eastAsia="zh-CN" w:bidi="ar-SA"/>
        </w:rPr>
        <w:t>本项目可能面临的风险包括技术风险、进度风险、成本风险等。具体风险及应对措施如下：</w:t>
      </w:r>
    </w:p>
    <w:p w14:paraId="17C31B68">
      <w:pPr>
        <w:pStyle w:val="12"/>
        <w:shd w:val="clear"/>
        <w:ind w:firstLine="480"/>
        <w:rPr>
          <w:rFonts w:hint="eastAsia" w:ascii="仿宋" w:hAnsi="仿宋" w:cs="仿宋"/>
          <w:kern w:val="2"/>
          <w:sz w:val="28"/>
          <w:szCs w:val="21"/>
          <w:highlight w:val="none"/>
          <w:lang w:val="en-US" w:eastAsia="zh-CN" w:bidi="ar-SA"/>
        </w:rPr>
      </w:pPr>
      <w:r>
        <w:rPr>
          <w:rFonts w:hint="eastAsia" w:ascii="仿宋" w:hAnsi="仿宋" w:cs="仿宋"/>
          <w:kern w:val="2"/>
          <w:sz w:val="28"/>
          <w:szCs w:val="21"/>
          <w:highlight w:val="none"/>
          <w:lang w:val="en-US" w:eastAsia="zh-CN" w:bidi="ar-SA"/>
        </w:rPr>
        <w:t>（1） 技术风险：采用成熟的技术和工具，进行技术预研和技术培训，提高团队的技术水平。</w:t>
      </w:r>
    </w:p>
    <w:p w14:paraId="28200E19">
      <w:pPr>
        <w:pStyle w:val="12"/>
        <w:shd w:val="clear"/>
        <w:ind w:firstLine="480"/>
        <w:rPr>
          <w:rFonts w:hint="eastAsia" w:ascii="仿宋" w:hAnsi="仿宋" w:cs="仿宋"/>
          <w:kern w:val="2"/>
          <w:sz w:val="28"/>
          <w:szCs w:val="21"/>
          <w:highlight w:val="none"/>
          <w:lang w:val="en-US" w:eastAsia="zh-CN" w:bidi="ar-SA"/>
        </w:rPr>
      </w:pPr>
      <w:r>
        <w:rPr>
          <w:rFonts w:hint="eastAsia" w:ascii="仿宋" w:hAnsi="仿宋" w:cs="仿宋"/>
          <w:kern w:val="2"/>
          <w:sz w:val="28"/>
          <w:szCs w:val="21"/>
          <w:highlight w:val="none"/>
          <w:lang w:val="en-US" w:eastAsia="zh-CN" w:bidi="ar-SA"/>
        </w:rPr>
        <w:t>（2） 进度风险：制定详细的项目计划，加强项目进度的监控和管理，及时调整进度计划。</w:t>
      </w:r>
    </w:p>
    <w:p w14:paraId="44EBC38C">
      <w:pPr>
        <w:pStyle w:val="12"/>
        <w:shd w:val="clear"/>
        <w:ind w:firstLine="480"/>
        <w:rPr>
          <w:rFonts w:hint="eastAsia" w:ascii="仿宋" w:hAnsi="仿宋" w:cs="仿宋"/>
          <w:kern w:val="2"/>
          <w:sz w:val="28"/>
          <w:szCs w:val="21"/>
          <w:highlight w:val="none"/>
          <w:lang w:val="en-US" w:eastAsia="zh-CN" w:bidi="ar-SA"/>
        </w:rPr>
      </w:pPr>
      <w:r>
        <w:rPr>
          <w:rFonts w:hint="eastAsia" w:ascii="仿宋" w:hAnsi="仿宋" w:cs="仿宋"/>
          <w:kern w:val="2"/>
          <w:sz w:val="28"/>
          <w:szCs w:val="21"/>
          <w:highlight w:val="none"/>
          <w:lang w:val="en-US" w:eastAsia="zh-CN" w:bidi="ar-SA"/>
        </w:rPr>
        <w:t>（3） 成本风险：制定合理的预算和成本计划，加强成本控制和管理，避免成本超支。</w:t>
      </w:r>
    </w:p>
    <w:p w14:paraId="672D56C4">
      <w:pPr>
        <w:pStyle w:val="8"/>
        <w:keepNext w:val="0"/>
        <w:keepLines w:val="0"/>
        <w:pageBreakBefore w:val="0"/>
        <w:widowControl w:val="0"/>
        <w:shd w:val="clear"/>
        <w:kinsoku/>
        <w:wordWrap/>
        <w:overflowPunct/>
        <w:topLinePunct w:val="0"/>
        <w:autoSpaceDE/>
        <w:autoSpaceDN/>
        <w:bidi w:val="0"/>
        <w:adjustRightInd/>
        <w:snapToGrid/>
        <w:textAlignment w:val="auto"/>
        <w:outlineLvl w:val="3"/>
        <w:rPr>
          <w:rFonts w:hint="eastAsia" w:asciiTheme="majorEastAsia" w:hAnsiTheme="majorEastAsia" w:eastAsiaTheme="majorEastAsia" w:cstheme="majorEastAsia"/>
          <w:b/>
          <w:bCs/>
          <w:sz w:val="28"/>
          <w:szCs w:val="21"/>
          <w:highlight w:val="none"/>
          <w:lang w:val="en-US" w:eastAsia="zh-CN"/>
        </w:rPr>
      </w:pPr>
      <w:r>
        <w:rPr>
          <w:rFonts w:hint="eastAsia" w:asciiTheme="majorEastAsia" w:hAnsiTheme="majorEastAsia" w:eastAsiaTheme="majorEastAsia" w:cstheme="majorEastAsia"/>
          <w:b/>
          <w:bCs/>
          <w:sz w:val="28"/>
          <w:szCs w:val="21"/>
          <w:highlight w:val="none"/>
          <w:lang w:val="en-US" w:eastAsia="zh-CN"/>
        </w:rPr>
        <w:t>5.5.4沟通和协调</w:t>
      </w:r>
    </w:p>
    <w:p w14:paraId="01671755">
      <w:pPr>
        <w:pStyle w:val="12"/>
        <w:shd w:val="clear"/>
        <w:ind w:firstLine="480"/>
        <w:rPr>
          <w:rFonts w:hint="eastAsia" w:ascii="仿宋" w:hAnsi="仿宋" w:cs="仿宋"/>
          <w:kern w:val="2"/>
          <w:sz w:val="28"/>
          <w:szCs w:val="21"/>
          <w:highlight w:val="none"/>
          <w:lang w:val="en-US" w:eastAsia="zh-CN" w:bidi="ar-SA"/>
        </w:rPr>
      </w:pPr>
      <w:r>
        <w:rPr>
          <w:rFonts w:hint="eastAsia" w:ascii="仿宋" w:hAnsi="仿宋" w:cs="仿宋"/>
          <w:kern w:val="2"/>
          <w:sz w:val="28"/>
          <w:szCs w:val="21"/>
          <w:highlight w:val="none"/>
          <w:lang w:val="en-US" w:eastAsia="zh-CN" w:bidi="ar-SA"/>
        </w:rPr>
        <w:t>本项目涉及多个部门和多方利益相关者，需要加强沟通和协调。 建立有效的沟通机制：制定沟通计划，明确沟通方式和时间，确保信息传递的及时性和准确性。</w:t>
      </w:r>
    </w:p>
    <w:p w14:paraId="4158C80D">
      <w:pPr>
        <w:pStyle w:val="8"/>
        <w:keepNext w:val="0"/>
        <w:keepLines w:val="0"/>
        <w:pageBreakBefore w:val="0"/>
        <w:widowControl w:val="0"/>
        <w:shd w:val="clear"/>
        <w:kinsoku/>
        <w:wordWrap/>
        <w:overflowPunct/>
        <w:topLinePunct w:val="0"/>
        <w:autoSpaceDE/>
        <w:autoSpaceDN/>
        <w:bidi w:val="0"/>
        <w:adjustRightInd/>
        <w:snapToGrid/>
        <w:textAlignment w:val="auto"/>
        <w:outlineLvl w:val="1"/>
        <w:rPr>
          <w:rFonts w:hint="default" w:ascii="宋体" w:hAnsi="宋体" w:eastAsia="宋体" w:cs="宋体"/>
          <w:b/>
          <w:bCs/>
          <w:sz w:val="28"/>
          <w:szCs w:val="21"/>
          <w:highlight w:val="none"/>
          <w:lang w:val="en-US" w:eastAsia="zh-CN"/>
        </w:rPr>
      </w:pPr>
      <w:bookmarkStart w:id="35" w:name="_Toc5588"/>
      <w:r>
        <w:rPr>
          <w:rFonts w:hint="eastAsia" w:ascii="宋体" w:hAnsi="宋体" w:eastAsia="宋体" w:cs="宋体"/>
          <w:b/>
          <w:bCs/>
          <w:sz w:val="28"/>
          <w:szCs w:val="21"/>
          <w:highlight w:val="none"/>
          <w:lang w:val="en-US" w:eastAsia="zh-CN"/>
        </w:rPr>
        <w:t>5.6项目实施技术保障措施</w:t>
      </w:r>
      <w:bookmarkEnd w:id="35"/>
    </w:p>
    <w:p w14:paraId="122FF65B">
      <w:pPr>
        <w:pStyle w:val="8"/>
        <w:keepNext w:val="0"/>
        <w:keepLines w:val="0"/>
        <w:pageBreakBefore w:val="0"/>
        <w:widowControl w:val="0"/>
        <w:shd w:val="clear"/>
        <w:kinsoku/>
        <w:wordWrap/>
        <w:overflowPunct/>
        <w:topLinePunct w:val="0"/>
        <w:autoSpaceDE/>
        <w:autoSpaceDN/>
        <w:bidi w:val="0"/>
        <w:adjustRightInd/>
        <w:snapToGrid/>
        <w:textAlignment w:val="auto"/>
        <w:outlineLvl w:val="3"/>
        <w:rPr>
          <w:rFonts w:hint="default" w:asciiTheme="majorEastAsia" w:hAnsiTheme="majorEastAsia" w:eastAsiaTheme="majorEastAsia" w:cstheme="majorEastAsia"/>
          <w:b/>
          <w:bCs/>
          <w:sz w:val="28"/>
          <w:szCs w:val="21"/>
          <w:highlight w:val="none"/>
          <w:lang w:val="en-US" w:eastAsia="zh-CN"/>
        </w:rPr>
      </w:pPr>
      <w:bookmarkStart w:id="36" w:name="_Toc14012"/>
      <w:bookmarkStart w:id="37" w:name="_Toc29369"/>
      <w:r>
        <w:rPr>
          <w:rFonts w:hint="eastAsia" w:asciiTheme="majorEastAsia" w:hAnsiTheme="majorEastAsia" w:eastAsiaTheme="majorEastAsia" w:cstheme="majorEastAsia"/>
          <w:b/>
          <w:bCs/>
          <w:sz w:val="28"/>
          <w:szCs w:val="21"/>
          <w:highlight w:val="none"/>
          <w:lang w:val="en-US" w:eastAsia="zh-CN"/>
        </w:rPr>
        <w:t>5.6.1工况数据采集技术保障</w:t>
      </w:r>
      <w:bookmarkEnd w:id="36"/>
      <w:bookmarkEnd w:id="37"/>
    </w:p>
    <w:p w14:paraId="36703EBC">
      <w:pPr>
        <w:pStyle w:val="12"/>
        <w:shd w:val="clear"/>
        <w:ind w:firstLine="480"/>
        <w:rPr>
          <w:rFonts w:hint="eastAsia" w:ascii="仿宋" w:hAnsi="仿宋" w:cs="仿宋"/>
          <w:kern w:val="2"/>
          <w:sz w:val="28"/>
          <w:szCs w:val="21"/>
          <w:highlight w:val="none"/>
          <w:lang w:val="en-US" w:eastAsia="zh-CN" w:bidi="ar-SA"/>
        </w:rPr>
      </w:pPr>
      <w:r>
        <w:rPr>
          <w:rFonts w:hint="eastAsia" w:ascii="仿宋" w:hAnsi="仿宋" w:cs="仿宋"/>
          <w:kern w:val="2"/>
          <w:sz w:val="28"/>
          <w:szCs w:val="21"/>
          <w:highlight w:val="none"/>
          <w:lang w:val="en-US" w:eastAsia="zh-CN" w:bidi="ar-SA"/>
        </w:rPr>
        <w:t>根据工艺设计，对影响污染物排放的生产设施和污染治理设施（以下简称治理设施）运行的关键参数（包括诸如流量、温度、含氧量、压力等之工艺参数和诸如电流、电压、频率、转速等之电气参数） 进行的监测；结合企业生产工艺和末端监测数据，全面监控企业的生产设施和治理设施的运行、污染物治理效果和排放情况，判定污染物排放监测数据的合理性、真实性和可接受性。</w:t>
      </w:r>
    </w:p>
    <w:p w14:paraId="350E8B77">
      <w:pPr>
        <w:pStyle w:val="12"/>
        <w:shd w:val="clear"/>
        <w:ind w:firstLine="480"/>
        <w:rPr>
          <w:rFonts w:hint="eastAsia" w:ascii="仿宋" w:hAnsi="仿宋" w:cs="仿宋"/>
          <w:kern w:val="2"/>
          <w:sz w:val="28"/>
          <w:szCs w:val="21"/>
          <w:highlight w:val="none"/>
          <w:lang w:val="en-US" w:eastAsia="zh-CN" w:bidi="ar-SA"/>
        </w:rPr>
      </w:pPr>
      <w:r>
        <w:rPr>
          <w:rFonts w:hint="eastAsia" w:ascii="仿宋" w:hAnsi="仿宋" w:cs="仿宋"/>
          <w:kern w:val="2"/>
          <w:sz w:val="28"/>
          <w:szCs w:val="21"/>
          <w:highlight w:val="none"/>
          <w:lang w:val="en-US" w:eastAsia="zh-CN" w:bidi="ar-SA"/>
        </w:rPr>
        <w:t>针对不同行业的生产系统，本方案支持OPC通讯功能、支持各品牌PLC的数据采集、各种仪表和DCS的Modbus通讯功能的支持。配备了PLC可编程控制器，可以对现场设备及仪表进行直接的数据采集，将采集到的数据进行处理后，以Modbus数据格式对第三方系统通讯开放。</w:t>
      </w:r>
    </w:p>
    <w:p w14:paraId="2FB4E74F">
      <w:pPr>
        <w:pStyle w:val="12"/>
        <w:shd w:val="clear"/>
        <w:ind w:firstLine="480"/>
        <w:rPr>
          <w:rFonts w:hint="eastAsia" w:ascii="仿宋" w:hAnsi="仿宋" w:cs="仿宋"/>
          <w:kern w:val="2"/>
          <w:sz w:val="28"/>
          <w:szCs w:val="21"/>
          <w:highlight w:val="none"/>
          <w:lang w:val="en-US" w:eastAsia="zh-CN" w:bidi="ar-SA"/>
        </w:rPr>
      </w:pPr>
      <w:r>
        <w:rPr>
          <w:rFonts w:hint="eastAsia" w:ascii="仿宋" w:hAnsi="仿宋" w:cs="仿宋"/>
          <w:kern w:val="2"/>
          <w:sz w:val="28"/>
          <w:szCs w:val="21"/>
          <w:highlight w:val="none"/>
          <w:lang w:val="en-US" w:eastAsia="zh-CN" w:bidi="ar-SA"/>
        </w:rPr>
        <w:t>在进行通讯采集（OPC、Modbus、PLC）数据时，一般情况下，我们得到的数据为企业生产系统进行换算后的数值，即企业操作可视化界面的数据。为了保证采集到的数据的真实性、可用性，防止企业进行数据进行篡改，我们同时采集该数据的原始数据，数据采集系统对该数据进行运算，与企业可视化界面数据值进行比对，当此数据出现偏差（此偏差时可自定义）时，系统给出报警提示。原理示意图如下所示：</w:t>
      </w:r>
    </w:p>
    <w:p w14:paraId="5E13EF9E">
      <w:pPr>
        <w:shd w:val="clear"/>
        <w:rPr>
          <w:highlight w:val="none"/>
        </w:rPr>
      </w:pPr>
      <w:r>
        <w:rPr>
          <w:highlight w:val="none"/>
        </w:rPr>
        <w:drawing>
          <wp:inline distT="0" distB="0" distL="114300" distR="114300">
            <wp:extent cx="5274310" cy="1676400"/>
            <wp:effectExtent l="0" t="0" r="2540" b="0"/>
            <wp:docPr id="31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42"/>
                    <pic:cNvPicPr>
                      <a:picLocks noChangeAspect="1"/>
                    </pic:cNvPicPr>
                  </pic:nvPicPr>
                  <pic:blipFill>
                    <a:blip r:embed="rId16"/>
                    <a:stretch>
                      <a:fillRect/>
                    </a:stretch>
                  </pic:blipFill>
                  <pic:spPr>
                    <a:xfrm>
                      <a:off x="0" y="0"/>
                      <a:ext cx="5274310" cy="1676400"/>
                    </a:xfrm>
                    <a:prstGeom prst="rect">
                      <a:avLst/>
                    </a:prstGeom>
                    <a:noFill/>
                    <a:ln>
                      <a:noFill/>
                    </a:ln>
                  </pic:spPr>
                </pic:pic>
              </a:graphicData>
            </a:graphic>
          </wp:inline>
        </w:drawing>
      </w:r>
    </w:p>
    <w:p w14:paraId="6774ABBE">
      <w:pPr>
        <w:pStyle w:val="8"/>
        <w:numPr>
          <w:ilvl w:val="0"/>
          <w:numId w:val="1"/>
        </w:numPr>
        <w:shd w:val="clear"/>
        <w:ind w:left="0" w:leftChars="0" w:firstLine="0" w:firstLineChars="0"/>
        <w:jc w:val="center"/>
        <w:rPr>
          <w:rFonts w:hint="default" w:ascii="黑体" w:hAnsi="黑体" w:eastAsia="黑体" w:cs="黑体"/>
          <w:kern w:val="2"/>
          <w:sz w:val="24"/>
          <w:szCs w:val="24"/>
          <w:highlight w:val="none"/>
          <w:lang w:val="en-US" w:eastAsia="zh-CN" w:bidi="ar-SA"/>
        </w:rPr>
      </w:pPr>
      <w:r>
        <w:rPr>
          <w:rFonts w:hint="eastAsia" w:ascii="黑体" w:hAnsi="黑体" w:eastAsia="黑体" w:cs="黑体"/>
          <w:kern w:val="2"/>
          <w:sz w:val="24"/>
          <w:szCs w:val="24"/>
          <w:highlight w:val="none"/>
          <w:lang w:val="en-US" w:eastAsia="zh-CN" w:bidi="ar-SA"/>
        </w:rPr>
        <w:t>工况数据采集技术原理示意图</w:t>
      </w:r>
    </w:p>
    <w:p w14:paraId="4EAFFD0D">
      <w:pPr>
        <w:pStyle w:val="8"/>
        <w:keepNext w:val="0"/>
        <w:keepLines w:val="0"/>
        <w:pageBreakBefore w:val="0"/>
        <w:widowControl w:val="0"/>
        <w:shd w:val="clear"/>
        <w:kinsoku/>
        <w:wordWrap/>
        <w:overflowPunct/>
        <w:topLinePunct w:val="0"/>
        <w:autoSpaceDE/>
        <w:autoSpaceDN/>
        <w:bidi w:val="0"/>
        <w:adjustRightInd/>
        <w:snapToGrid/>
        <w:textAlignment w:val="auto"/>
        <w:outlineLvl w:val="3"/>
        <w:rPr>
          <w:rFonts w:hint="eastAsia" w:asciiTheme="majorEastAsia" w:hAnsiTheme="majorEastAsia" w:eastAsiaTheme="majorEastAsia" w:cstheme="majorEastAsia"/>
          <w:b/>
          <w:bCs/>
          <w:sz w:val="28"/>
          <w:szCs w:val="21"/>
          <w:highlight w:val="none"/>
          <w:lang w:val="en-US" w:eastAsia="zh-CN"/>
        </w:rPr>
      </w:pPr>
      <w:bookmarkStart w:id="38" w:name="_Toc10657"/>
      <w:bookmarkStart w:id="39" w:name="_Toc10116"/>
      <w:r>
        <w:rPr>
          <w:rFonts w:hint="eastAsia" w:asciiTheme="majorEastAsia" w:hAnsiTheme="majorEastAsia" w:eastAsiaTheme="majorEastAsia" w:cstheme="majorEastAsia"/>
          <w:b/>
          <w:bCs/>
          <w:sz w:val="28"/>
          <w:szCs w:val="21"/>
          <w:highlight w:val="none"/>
          <w:lang w:val="en-US" w:eastAsia="zh-CN"/>
        </w:rPr>
        <w:t>5.6.2物联网技术技术保障</w:t>
      </w:r>
      <w:bookmarkEnd w:id="38"/>
      <w:bookmarkEnd w:id="39"/>
    </w:p>
    <w:p w14:paraId="0730849A">
      <w:pPr>
        <w:pStyle w:val="12"/>
        <w:shd w:val="clear"/>
        <w:ind w:firstLine="480"/>
        <w:rPr>
          <w:rFonts w:hint="eastAsia" w:ascii="仿宋" w:hAnsi="仿宋" w:cs="仿宋"/>
          <w:kern w:val="2"/>
          <w:sz w:val="28"/>
          <w:szCs w:val="21"/>
          <w:highlight w:val="none"/>
          <w:lang w:val="en-US" w:eastAsia="zh-CN" w:bidi="ar-SA"/>
        </w:rPr>
      </w:pPr>
      <w:r>
        <w:rPr>
          <w:rFonts w:hint="eastAsia" w:ascii="仿宋" w:hAnsi="仿宋" w:cs="仿宋"/>
          <w:kern w:val="2"/>
          <w:sz w:val="28"/>
          <w:szCs w:val="21"/>
          <w:highlight w:val="none"/>
          <w:lang w:val="en-US" w:eastAsia="zh-CN" w:bidi="ar-SA"/>
        </w:rPr>
        <w:t>通过射频识别（RFID）、电流环、限位开关、温度传感器等信息传感设备，按约定的协议，将监测设备与互联网相连接，进行信息交换和通讯，以实现智能化识别、定位、追踪、监控和管理的技术叫做物联网技术。</w:t>
      </w:r>
    </w:p>
    <w:p w14:paraId="592FFF19">
      <w:pPr>
        <w:pStyle w:val="12"/>
        <w:shd w:val="clear"/>
        <w:ind w:firstLine="480"/>
        <w:rPr>
          <w:rFonts w:hint="eastAsia" w:ascii="仿宋" w:hAnsi="仿宋" w:cs="仿宋"/>
          <w:kern w:val="2"/>
          <w:sz w:val="28"/>
          <w:szCs w:val="21"/>
          <w:highlight w:val="none"/>
          <w:lang w:val="en-US" w:eastAsia="zh-CN" w:bidi="ar-SA"/>
        </w:rPr>
      </w:pPr>
      <w:r>
        <w:rPr>
          <w:rFonts w:hint="eastAsia" w:ascii="仿宋" w:hAnsi="仿宋" w:cs="仿宋"/>
          <w:kern w:val="2"/>
          <w:sz w:val="28"/>
          <w:szCs w:val="21"/>
          <w:highlight w:val="none"/>
          <w:lang w:val="en-US" w:eastAsia="zh-CN" w:bidi="ar-SA"/>
        </w:rPr>
        <w:t>物联网技术的重要基础和核心是通过各种有线和无线网络与互联网融合，将物体的信息实时准确地传递出去。在物联网上的传感器定时采集信息需要通过网络传输，由于其数量极其庞大，形成了海量信息，在传输过程中，为了保障数据的正确性和即时性，必须适应各种异构网络和协议。</w:t>
      </w:r>
    </w:p>
    <w:p w14:paraId="4627C594">
      <w:pPr>
        <w:pStyle w:val="12"/>
        <w:shd w:val="clear"/>
        <w:ind w:firstLine="480"/>
        <w:rPr>
          <w:rFonts w:hint="eastAsia" w:ascii="仿宋" w:hAnsi="仿宋" w:cs="仿宋"/>
          <w:kern w:val="2"/>
          <w:sz w:val="28"/>
          <w:szCs w:val="21"/>
          <w:highlight w:val="none"/>
          <w:lang w:val="en-US" w:eastAsia="zh-CN" w:bidi="ar-SA"/>
        </w:rPr>
      </w:pPr>
      <w:r>
        <w:rPr>
          <w:rFonts w:hint="eastAsia" w:ascii="仿宋" w:hAnsi="仿宋" w:cs="仿宋"/>
          <w:kern w:val="2"/>
          <w:sz w:val="28"/>
          <w:szCs w:val="21"/>
          <w:highlight w:val="none"/>
          <w:lang w:val="en-US" w:eastAsia="zh-CN" w:bidi="ar-SA"/>
        </w:rPr>
        <w:t>物联网不仅仅提供了传感器的连接，其本身也具有智能处理的能力，能够对物体实施智能控制。物联网将传感器和智能处理相结合，利用云计算、模式识别等各种智能技术，提高环境监管能力。</w:t>
      </w:r>
    </w:p>
    <w:p w14:paraId="36EC4719">
      <w:pPr>
        <w:pStyle w:val="8"/>
        <w:keepNext w:val="0"/>
        <w:keepLines w:val="0"/>
        <w:pageBreakBefore w:val="0"/>
        <w:widowControl w:val="0"/>
        <w:shd w:val="clear"/>
        <w:kinsoku/>
        <w:wordWrap/>
        <w:overflowPunct/>
        <w:topLinePunct w:val="0"/>
        <w:autoSpaceDE/>
        <w:autoSpaceDN/>
        <w:bidi w:val="0"/>
        <w:adjustRightInd/>
        <w:snapToGrid/>
        <w:textAlignment w:val="auto"/>
        <w:outlineLvl w:val="3"/>
        <w:rPr>
          <w:rFonts w:hint="eastAsia" w:asciiTheme="majorEastAsia" w:hAnsiTheme="majorEastAsia" w:eastAsiaTheme="majorEastAsia" w:cstheme="majorEastAsia"/>
          <w:b/>
          <w:bCs/>
          <w:sz w:val="28"/>
          <w:szCs w:val="21"/>
          <w:highlight w:val="none"/>
          <w:lang w:val="en-US" w:eastAsia="zh-CN"/>
        </w:rPr>
      </w:pPr>
      <w:bookmarkStart w:id="40" w:name="_Toc24850"/>
      <w:bookmarkStart w:id="41" w:name="_Toc25516"/>
      <w:r>
        <w:rPr>
          <w:rFonts w:hint="eastAsia" w:asciiTheme="majorEastAsia" w:hAnsiTheme="majorEastAsia" w:eastAsiaTheme="majorEastAsia" w:cstheme="majorEastAsia"/>
          <w:b/>
          <w:bCs/>
          <w:sz w:val="28"/>
          <w:szCs w:val="21"/>
          <w:highlight w:val="none"/>
          <w:lang w:val="en-US" w:eastAsia="zh-CN"/>
        </w:rPr>
        <w:t>5.6.3边缘计算技术保障</w:t>
      </w:r>
      <w:bookmarkEnd w:id="40"/>
      <w:bookmarkEnd w:id="41"/>
    </w:p>
    <w:p w14:paraId="65F9E78C">
      <w:pPr>
        <w:pStyle w:val="12"/>
        <w:shd w:val="clear"/>
        <w:ind w:firstLine="480"/>
        <w:rPr>
          <w:rFonts w:hint="eastAsia" w:ascii="仿宋" w:hAnsi="仿宋" w:cs="仿宋"/>
          <w:kern w:val="2"/>
          <w:sz w:val="28"/>
          <w:szCs w:val="21"/>
          <w:highlight w:val="none"/>
          <w:lang w:val="en-US" w:eastAsia="zh-CN" w:bidi="ar-SA"/>
        </w:rPr>
      </w:pPr>
      <w:r>
        <w:rPr>
          <w:rFonts w:hint="eastAsia" w:ascii="仿宋" w:hAnsi="仿宋" w:cs="仿宋"/>
          <w:kern w:val="2"/>
          <w:sz w:val="28"/>
          <w:szCs w:val="21"/>
          <w:highlight w:val="none"/>
          <w:lang w:val="en-US" w:eastAsia="zh-CN" w:bidi="ar-SA"/>
        </w:rPr>
        <w:t>边缘计算，是指在靠近物或数据源头的一侧，采用网络、计算、存储、应用核心能力为一体的开放平台，就近提供最近端服务。其</w:t>
      </w:r>
      <w:r>
        <w:rPr>
          <w:rFonts w:hint="eastAsia" w:ascii="仿宋" w:hAnsi="仿宋" w:cs="仿宋"/>
          <w:kern w:val="2"/>
          <w:sz w:val="28"/>
          <w:szCs w:val="21"/>
          <w:highlight w:val="none"/>
          <w:lang w:val="en-US" w:eastAsia="zh-CN" w:bidi="ar-SA"/>
        </w:rPr>
        <w:fldChar w:fldCharType="begin"/>
      </w:r>
      <w:r>
        <w:rPr>
          <w:rFonts w:hint="eastAsia" w:ascii="仿宋" w:hAnsi="仿宋" w:cs="仿宋"/>
          <w:kern w:val="2"/>
          <w:sz w:val="28"/>
          <w:szCs w:val="21"/>
          <w:highlight w:val="none"/>
          <w:lang w:val="en-US" w:eastAsia="zh-CN" w:bidi="ar-SA"/>
        </w:rPr>
        <w:instrText xml:space="preserve"> HYPERLINK "https://baike.baidu.com/item/%E5%BA%94%E7%94%A8%E7%A8%8B%E5%BA%8F/5985445?fromModule=lemma_inlink" \t "https://baike.baidu.com/item/%E8%BE%B9%E7%BC%98%E8%AE%A1%E7%AE%97/_blank" </w:instrText>
      </w:r>
      <w:r>
        <w:rPr>
          <w:rFonts w:hint="eastAsia" w:ascii="仿宋" w:hAnsi="仿宋" w:cs="仿宋"/>
          <w:kern w:val="2"/>
          <w:sz w:val="28"/>
          <w:szCs w:val="21"/>
          <w:highlight w:val="none"/>
          <w:lang w:val="en-US" w:eastAsia="zh-CN" w:bidi="ar-SA"/>
        </w:rPr>
        <w:fldChar w:fldCharType="separate"/>
      </w:r>
      <w:r>
        <w:rPr>
          <w:rFonts w:hint="eastAsia" w:ascii="仿宋" w:hAnsi="仿宋" w:cs="仿宋"/>
          <w:kern w:val="2"/>
          <w:sz w:val="28"/>
          <w:szCs w:val="21"/>
          <w:highlight w:val="none"/>
          <w:lang w:val="en-US" w:eastAsia="zh-CN" w:bidi="ar-SA"/>
        </w:rPr>
        <w:t>应用程序</w:t>
      </w:r>
      <w:r>
        <w:rPr>
          <w:rFonts w:hint="eastAsia" w:ascii="仿宋" w:hAnsi="仿宋" w:cs="仿宋"/>
          <w:kern w:val="2"/>
          <w:sz w:val="28"/>
          <w:szCs w:val="21"/>
          <w:highlight w:val="none"/>
          <w:lang w:val="en-US" w:eastAsia="zh-CN" w:bidi="ar-SA"/>
        </w:rPr>
        <w:fldChar w:fldCharType="end"/>
      </w:r>
      <w:r>
        <w:rPr>
          <w:rFonts w:hint="eastAsia" w:ascii="仿宋" w:hAnsi="仿宋" w:cs="仿宋"/>
          <w:kern w:val="2"/>
          <w:sz w:val="28"/>
          <w:szCs w:val="21"/>
          <w:highlight w:val="none"/>
          <w:lang w:val="en-US" w:eastAsia="zh-CN" w:bidi="ar-SA"/>
        </w:rPr>
        <w:t>在边缘侧发起，产生更快的</w:t>
      </w:r>
      <w:r>
        <w:rPr>
          <w:rFonts w:hint="eastAsia" w:ascii="仿宋" w:hAnsi="仿宋" w:cs="仿宋"/>
          <w:kern w:val="2"/>
          <w:sz w:val="28"/>
          <w:szCs w:val="21"/>
          <w:highlight w:val="none"/>
          <w:lang w:val="en-US" w:eastAsia="zh-CN" w:bidi="ar-SA"/>
        </w:rPr>
        <w:fldChar w:fldCharType="begin"/>
      </w:r>
      <w:r>
        <w:rPr>
          <w:rFonts w:hint="eastAsia" w:ascii="仿宋" w:hAnsi="仿宋" w:cs="仿宋"/>
          <w:kern w:val="2"/>
          <w:sz w:val="28"/>
          <w:szCs w:val="21"/>
          <w:highlight w:val="none"/>
          <w:lang w:val="en-US" w:eastAsia="zh-CN" w:bidi="ar-SA"/>
        </w:rPr>
        <w:instrText xml:space="preserve"> HYPERLINK "https://baike.baidu.com/item/%E7%BD%91%E7%BB%9C%E6%9C%8D%E5%8A%A1/9498645?fromModule=lemma_inlink" \t "https://baike.baidu.com/item/%E8%BE%B9%E7%BC%98%E8%AE%A1%E7%AE%97/_blank" </w:instrText>
      </w:r>
      <w:r>
        <w:rPr>
          <w:rFonts w:hint="eastAsia" w:ascii="仿宋" w:hAnsi="仿宋" w:cs="仿宋"/>
          <w:kern w:val="2"/>
          <w:sz w:val="28"/>
          <w:szCs w:val="21"/>
          <w:highlight w:val="none"/>
          <w:lang w:val="en-US" w:eastAsia="zh-CN" w:bidi="ar-SA"/>
        </w:rPr>
        <w:fldChar w:fldCharType="separate"/>
      </w:r>
      <w:r>
        <w:rPr>
          <w:rFonts w:hint="eastAsia" w:ascii="仿宋" w:hAnsi="仿宋" w:cs="仿宋"/>
          <w:kern w:val="2"/>
          <w:sz w:val="28"/>
          <w:szCs w:val="21"/>
          <w:highlight w:val="none"/>
          <w:lang w:val="en-US" w:eastAsia="zh-CN" w:bidi="ar-SA"/>
        </w:rPr>
        <w:t>网络服务</w:t>
      </w:r>
      <w:r>
        <w:rPr>
          <w:rFonts w:hint="eastAsia" w:ascii="仿宋" w:hAnsi="仿宋" w:cs="仿宋"/>
          <w:kern w:val="2"/>
          <w:sz w:val="28"/>
          <w:szCs w:val="21"/>
          <w:highlight w:val="none"/>
          <w:lang w:val="en-US" w:eastAsia="zh-CN" w:bidi="ar-SA"/>
        </w:rPr>
        <w:fldChar w:fldCharType="end"/>
      </w:r>
      <w:r>
        <w:rPr>
          <w:rFonts w:hint="eastAsia" w:ascii="仿宋" w:hAnsi="仿宋" w:cs="仿宋"/>
          <w:kern w:val="2"/>
          <w:sz w:val="28"/>
          <w:szCs w:val="21"/>
          <w:highlight w:val="none"/>
          <w:lang w:val="en-US" w:eastAsia="zh-CN" w:bidi="ar-SA"/>
        </w:rPr>
        <w:t>响应，满足行业在实时业务、应用智能、安全与隐私保护等方面的基本需求。边缘计算处于物理实体和工业连接之间，或处于物理实体的顶端。而云端计算，仍然可以访问边缘计算的历史数据。</w:t>
      </w:r>
    </w:p>
    <w:p w14:paraId="59E9CCB2">
      <w:pPr>
        <w:pStyle w:val="12"/>
        <w:shd w:val="clear"/>
        <w:ind w:firstLine="480"/>
        <w:rPr>
          <w:rFonts w:hint="eastAsia" w:ascii="仿宋" w:hAnsi="仿宋" w:cs="仿宋"/>
          <w:kern w:val="2"/>
          <w:sz w:val="28"/>
          <w:szCs w:val="21"/>
          <w:highlight w:val="none"/>
          <w:lang w:val="en-US" w:eastAsia="zh-CN" w:bidi="ar-SA"/>
        </w:rPr>
      </w:pPr>
      <w:r>
        <w:rPr>
          <w:rFonts w:hint="eastAsia" w:ascii="仿宋" w:hAnsi="仿宋" w:cs="仿宋"/>
          <w:kern w:val="2"/>
          <w:sz w:val="28"/>
          <w:szCs w:val="21"/>
          <w:highlight w:val="none"/>
          <w:lang w:val="en-US" w:eastAsia="zh-CN" w:bidi="ar-SA"/>
        </w:rPr>
        <w:t>项目将通过工况数据采集后，在智能数据边缘计算采集站设定数据阈值在现场实现生产设施、治理设施运行状态自动判别，环境事件分析等功能。</w:t>
      </w:r>
    </w:p>
    <w:p w14:paraId="1DB55CF4">
      <w:pPr>
        <w:pStyle w:val="8"/>
        <w:keepNext w:val="0"/>
        <w:keepLines w:val="0"/>
        <w:pageBreakBefore w:val="0"/>
        <w:widowControl w:val="0"/>
        <w:shd w:val="clear"/>
        <w:kinsoku/>
        <w:wordWrap/>
        <w:overflowPunct/>
        <w:topLinePunct w:val="0"/>
        <w:autoSpaceDE/>
        <w:autoSpaceDN/>
        <w:bidi w:val="0"/>
        <w:adjustRightInd/>
        <w:snapToGrid/>
        <w:textAlignment w:val="auto"/>
        <w:outlineLvl w:val="0"/>
        <w:rPr>
          <w:rFonts w:hint="default" w:ascii="黑体" w:hAnsi="黑体" w:eastAsia="黑体" w:cs="黑体"/>
          <w:b w:val="0"/>
          <w:bCs w:val="0"/>
          <w:sz w:val="32"/>
          <w:szCs w:val="22"/>
          <w:highlight w:val="none"/>
          <w:lang w:val="en-US" w:eastAsia="zh-CN"/>
        </w:rPr>
      </w:pPr>
      <w:bookmarkStart w:id="42" w:name="_Toc17378"/>
      <w:r>
        <w:rPr>
          <w:rFonts w:hint="eastAsia" w:ascii="黑体" w:hAnsi="黑体" w:eastAsia="黑体" w:cs="黑体"/>
          <w:b w:val="0"/>
          <w:bCs w:val="0"/>
          <w:sz w:val="32"/>
          <w:szCs w:val="22"/>
          <w:highlight w:val="none"/>
          <w:lang w:val="en-US" w:eastAsia="zh-CN"/>
        </w:rPr>
        <w:t>六、项目投资估算</w:t>
      </w:r>
      <w:bookmarkEnd w:id="42"/>
    </w:p>
    <w:p w14:paraId="755D692E">
      <w:pPr>
        <w:pStyle w:val="12"/>
        <w:shd w:val="clear"/>
        <w:ind w:firstLine="480"/>
        <w:rPr>
          <w:rFonts w:hint="eastAsia" w:ascii="仿宋" w:hAnsi="仿宋" w:cs="仿宋"/>
          <w:kern w:val="2"/>
          <w:sz w:val="28"/>
          <w:szCs w:val="21"/>
          <w:highlight w:val="none"/>
          <w:lang w:val="en-US" w:eastAsia="zh-CN" w:bidi="ar-SA"/>
        </w:rPr>
      </w:pPr>
      <w:r>
        <w:rPr>
          <w:rFonts w:hint="eastAsia" w:ascii="仿宋" w:hAnsi="仿宋" w:cs="仿宋"/>
          <w:kern w:val="2"/>
          <w:sz w:val="28"/>
          <w:szCs w:val="21"/>
          <w:highlight w:val="none"/>
          <w:lang w:val="en-US" w:eastAsia="zh-CN" w:bidi="ar-SA"/>
        </w:rPr>
        <w:t>本次项目通过对工业污染源污染物的产生、治理及排放等全过程进行监控，综合提升区域工业源监控监管能力，项目建设预估费用1200万元。</w:t>
      </w:r>
    </w:p>
    <w:tbl>
      <w:tblPr>
        <w:tblStyle w:val="18"/>
        <w:tblW w:w="874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1237"/>
        <w:gridCol w:w="1802"/>
        <w:gridCol w:w="800"/>
        <w:gridCol w:w="733"/>
        <w:gridCol w:w="1067"/>
        <w:gridCol w:w="1048"/>
        <w:gridCol w:w="1417"/>
      </w:tblGrid>
      <w:tr w14:paraId="4D4C8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0FF6A">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2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6857A">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分项名称</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9FB3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设备名称</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62E7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9EEEF">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87FF2">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单价</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（万元）</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B6C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小计</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（万元）</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61C74">
            <w:pPr>
              <w:keepNext w:val="0"/>
              <w:keepLines w:val="0"/>
              <w:widowControl/>
              <w:suppressLineNumbers w:val="0"/>
              <w:jc w:val="center"/>
              <w:textAlignment w:val="center"/>
              <w:rPr>
                <w:rFonts w:hint="default"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备注</w:t>
            </w:r>
          </w:p>
        </w:tc>
      </w:tr>
      <w:tr w14:paraId="64D95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BCFC2">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w:t>
            </w:r>
          </w:p>
        </w:tc>
        <w:tc>
          <w:tcPr>
            <w:tcW w:w="12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F5B6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现场端综合监管系统建设</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1AA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智能数据边缘计算采集站</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297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EA2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DA6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585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552</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515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供应商免费提供设备安装联网调试及3年运维服务</w:t>
            </w:r>
          </w:p>
        </w:tc>
      </w:tr>
      <w:tr w14:paraId="5335B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FD5B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w:t>
            </w: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92B3A5">
            <w:pPr>
              <w:jc w:val="center"/>
              <w:rPr>
                <w:rFonts w:hint="eastAsia" w:ascii="宋体" w:hAnsi="宋体" w:eastAsia="宋体" w:cs="宋体"/>
                <w:i w:val="0"/>
                <w:iCs w:val="0"/>
                <w:color w:val="000000"/>
                <w:sz w:val="22"/>
                <w:szCs w:val="22"/>
                <w:u w:val="none"/>
              </w:rPr>
            </w:pP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F69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工业数据边缘计算箱</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64C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324</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45C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5BC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87E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648</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318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供应商免费提供设</w:t>
            </w:r>
            <w:bookmarkStart w:id="44" w:name="_GoBack"/>
            <w:bookmarkEnd w:id="44"/>
            <w:r>
              <w:rPr>
                <w:rFonts w:hint="eastAsia" w:ascii="宋体" w:hAnsi="宋体" w:eastAsia="宋体" w:cs="宋体"/>
                <w:i w:val="0"/>
                <w:iCs w:val="0"/>
                <w:color w:val="000000"/>
                <w:kern w:val="0"/>
                <w:sz w:val="22"/>
                <w:szCs w:val="22"/>
                <w:u w:val="none"/>
                <w:lang w:val="en-US" w:eastAsia="zh-CN" w:bidi="ar"/>
              </w:rPr>
              <w:t>备安装联网调试及3年运维服务</w:t>
            </w:r>
          </w:p>
        </w:tc>
      </w:tr>
      <w:tr w14:paraId="61E0F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jc w:val="center"/>
        </w:trPr>
        <w:tc>
          <w:tcPr>
            <w:tcW w:w="628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4F24E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009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BDE7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bl>
    <w:p w14:paraId="54391D76">
      <w:pPr>
        <w:pStyle w:val="8"/>
        <w:keepNext w:val="0"/>
        <w:keepLines w:val="0"/>
        <w:pageBreakBefore w:val="0"/>
        <w:widowControl w:val="0"/>
        <w:shd w:val="clear"/>
        <w:kinsoku/>
        <w:wordWrap/>
        <w:overflowPunct/>
        <w:topLinePunct w:val="0"/>
        <w:autoSpaceDE/>
        <w:autoSpaceDN/>
        <w:bidi w:val="0"/>
        <w:adjustRightInd/>
        <w:snapToGrid/>
        <w:textAlignment w:val="auto"/>
        <w:outlineLvl w:val="0"/>
        <w:rPr>
          <w:rFonts w:hint="eastAsia" w:ascii="黑体" w:hAnsi="黑体" w:eastAsia="黑体" w:cs="黑体"/>
          <w:b w:val="0"/>
          <w:bCs w:val="0"/>
          <w:sz w:val="32"/>
          <w:szCs w:val="22"/>
          <w:highlight w:val="none"/>
          <w:lang w:val="en-US" w:eastAsia="zh-CN"/>
        </w:rPr>
      </w:pPr>
      <w:bookmarkStart w:id="43" w:name="_Toc16395"/>
      <w:r>
        <w:rPr>
          <w:rFonts w:hint="eastAsia" w:ascii="黑体" w:hAnsi="黑体" w:eastAsia="黑体" w:cs="黑体"/>
          <w:b w:val="0"/>
          <w:bCs w:val="0"/>
          <w:sz w:val="32"/>
          <w:szCs w:val="22"/>
          <w:highlight w:val="none"/>
          <w:lang w:val="en-US" w:eastAsia="zh-CN"/>
        </w:rPr>
        <w:t>七、项目效益分析</w:t>
      </w:r>
      <w:bookmarkEnd w:id="43"/>
    </w:p>
    <w:p w14:paraId="529508DA">
      <w:pPr>
        <w:pStyle w:val="8"/>
        <w:shd w:val="clear"/>
        <w:rPr>
          <w:rFonts w:hint="eastAsia"/>
          <w:sz w:val="28"/>
          <w:szCs w:val="21"/>
          <w:highlight w:val="none"/>
          <w:lang w:val="en-US" w:eastAsia="zh-CN"/>
        </w:rPr>
      </w:pPr>
      <w:r>
        <w:rPr>
          <w:rFonts w:hint="eastAsia"/>
          <w:sz w:val="28"/>
          <w:szCs w:val="21"/>
          <w:highlight w:val="none"/>
          <w:lang w:val="en-US" w:eastAsia="zh-CN"/>
        </w:rPr>
        <w:t>（1）社会效益：保定市污染物排放智能管控可视化系统项目将为当地环境保护工作提供有力支持，提高环境监测能力，有助于更好地实施环保政策，提升区域生态文明水平；有助于生态环境信息化、智慧化水平的提升，同时为区域培养高端技术和业务人才队伍提供有利条件。</w:t>
      </w:r>
    </w:p>
    <w:p w14:paraId="1EBBCABE">
      <w:pPr>
        <w:pStyle w:val="8"/>
        <w:shd w:val="clear"/>
        <w:rPr>
          <w:rFonts w:hint="eastAsia"/>
          <w:sz w:val="28"/>
          <w:szCs w:val="21"/>
          <w:highlight w:val="none"/>
          <w:lang w:val="en-US" w:eastAsia="zh-CN"/>
        </w:rPr>
      </w:pPr>
      <w:r>
        <w:rPr>
          <w:rFonts w:hint="eastAsia"/>
          <w:sz w:val="28"/>
          <w:szCs w:val="21"/>
          <w:highlight w:val="none"/>
          <w:lang w:val="en-US" w:eastAsia="zh-CN"/>
        </w:rPr>
        <w:t>（2）环境效益：项目实施后，将有效提高区域环境监测监管覆盖范围和精度，有效促进污染物排放的减少，为达成空气质量目标提供了强有力的保障，进一步改善区域环境质量。</w:t>
      </w:r>
    </w:p>
    <w:p w14:paraId="27E00D63">
      <w:pPr>
        <w:pStyle w:val="8"/>
        <w:shd w:val="clear"/>
        <w:rPr>
          <w:rFonts w:hint="eastAsia"/>
          <w:sz w:val="28"/>
          <w:szCs w:val="21"/>
          <w:highlight w:val="none"/>
          <w:lang w:val="en-US" w:eastAsia="zh-CN"/>
        </w:rPr>
      </w:pPr>
      <w:r>
        <w:rPr>
          <w:rFonts w:hint="eastAsia"/>
          <w:sz w:val="28"/>
          <w:szCs w:val="21"/>
          <w:highlight w:val="none"/>
          <w:lang w:val="en-US" w:eastAsia="zh-CN"/>
        </w:rPr>
        <w:t>（3）经济效益：本项目建设以减少污染物排放提升空气环境质量为目标，项目的建设可以实现环境风险问题的主动发现和提前预测，通过提前掌握、预判风险，从而提前采取措施有效规避环境风险问题，降低因环境风险问题带来的经济损失。同时，通过非现场技模式代替人，有效解决环境监管责任部门人员不足等问题，降低用人、用车成本，提高工作效率。因此，项目运行后将产生一定的经济效益。</w:t>
      </w:r>
    </w:p>
    <w:p w14:paraId="7ADFFC49">
      <w:pPr>
        <w:pStyle w:val="8"/>
        <w:shd w:val="clear"/>
        <w:rPr>
          <w:rFonts w:hint="eastAsia"/>
          <w:sz w:val="28"/>
          <w:szCs w:val="21"/>
          <w:highlight w:val="none"/>
          <w:lang w:val="en-US" w:eastAsia="zh-CN"/>
        </w:rPr>
      </w:pPr>
    </w:p>
    <w:p w14:paraId="5C3F6049">
      <w:pPr>
        <w:pStyle w:val="8"/>
        <w:shd w:val="clear"/>
        <w:rPr>
          <w:rFonts w:hint="eastAsia"/>
          <w:sz w:val="28"/>
          <w:szCs w:val="21"/>
          <w:highlight w:val="none"/>
          <w:lang w:val="en-US" w:eastAsia="zh-CN"/>
        </w:rPr>
      </w:pPr>
    </w:p>
    <w:sectPr>
      <w:footerReference r:id="rId3" w:type="default"/>
      <w:pgSz w:w="11906" w:h="16838"/>
      <w:pgMar w:top="1440" w:right="1746" w:bottom="1440" w:left="1746"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F92B3">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6731F8">
                          <w:pPr>
                            <w:pStyle w:val="1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A6731F8">
                    <w:pPr>
                      <w:pStyle w:val="13"/>
                    </w:pPr>
                    <w:r>
                      <w:fldChar w:fldCharType="begin"/>
                    </w:r>
                    <w:r>
                      <w:instrText xml:space="preserve"> PAGE  \* MERGEFORMAT </w:instrText>
                    </w:r>
                    <w:r>
                      <w:fldChar w:fldCharType="separate"/>
                    </w:r>
                    <w:r>
                      <w:t>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3D0D640"/>
    <w:multiLevelType w:val="singleLevel"/>
    <w:tmpl w:val="73D0D640"/>
    <w:lvl w:ilvl="0" w:tentative="0">
      <w:start w:val="1"/>
      <w:numFmt w:val="decimal"/>
      <w:lvlText w:val="图%1"/>
      <w:lvlJc w:val="left"/>
      <w:pPr>
        <w:tabs>
          <w:tab w:val="left" w:pos="312"/>
        </w:tabs>
      </w:pPr>
      <w:rPr>
        <w:rFonts w:hint="default" w:ascii="宋体" w:hAnsi="宋体" w:eastAsia="宋体" w:cs="宋体"/>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U5ZDRmN2U0NzFiNDJiMTA1YWRjM2UxOTA2ODBkNzEifQ=="/>
  </w:docVars>
  <w:rsids>
    <w:rsidRoot w:val="00172A27"/>
    <w:rsid w:val="01210835"/>
    <w:rsid w:val="02316129"/>
    <w:rsid w:val="04640AE1"/>
    <w:rsid w:val="06201D10"/>
    <w:rsid w:val="065E7CFE"/>
    <w:rsid w:val="072D7AF3"/>
    <w:rsid w:val="086E068F"/>
    <w:rsid w:val="09544BDC"/>
    <w:rsid w:val="0B0976A2"/>
    <w:rsid w:val="0B51584A"/>
    <w:rsid w:val="0C476893"/>
    <w:rsid w:val="0CEC1FFB"/>
    <w:rsid w:val="0D5737A7"/>
    <w:rsid w:val="108F1C36"/>
    <w:rsid w:val="11B41208"/>
    <w:rsid w:val="137C3F14"/>
    <w:rsid w:val="13AB678F"/>
    <w:rsid w:val="146645C9"/>
    <w:rsid w:val="15981F0D"/>
    <w:rsid w:val="16405885"/>
    <w:rsid w:val="16B75A2E"/>
    <w:rsid w:val="16B8460D"/>
    <w:rsid w:val="170610F8"/>
    <w:rsid w:val="1763092F"/>
    <w:rsid w:val="18AD634F"/>
    <w:rsid w:val="1B4350FC"/>
    <w:rsid w:val="1B897030"/>
    <w:rsid w:val="1C4A0C26"/>
    <w:rsid w:val="1D3E0576"/>
    <w:rsid w:val="1EB3600A"/>
    <w:rsid w:val="1FBE6A14"/>
    <w:rsid w:val="21DA5817"/>
    <w:rsid w:val="2378512C"/>
    <w:rsid w:val="239E5541"/>
    <w:rsid w:val="23CD7B43"/>
    <w:rsid w:val="23D7288D"/>
    <w:rsid w:val="254C008C"/>
    <w:rsid w:val="26977C93"/>
    <w:rsid w:val="28E141A1"/>
    <w:rsid w:val="2AA75DDE"/>
    <w:rsid w:val="2C6B390E"/>
    <w:rsid w:val="2C7C6E53"/>
    <w:rsid w:val="30447BB4"/>
    <w:rsid w:val="3136298C"/>
    <w:rsid w:val="31766FC3"/>
    <w:rsid w:val="331F55C4"/>
    <w:rsid w:val="342B7E59"/>
    <w:rsid w:val="361E756D"/>
    <w:rsid w:val="36E96615"/>
    <w:rsid w:val="370A389F"/>
    <w:rsid w:val="386A5D37"/>
    <w:rsid w:val="38E30D90"/>
    <w:rsid w:val="3B9205DD"/>
    <w:rsid w:val="3C246476"/>
    <w:rsid w:val="3D624989"/>
    <w:rsid w:val="3DBE69CD"/>
    <w:rsid w:val="3E261695"/>
    <w:rsid w:val="3F13036F"/>
    <w:rsid w:val="3F2C2099"/>
    <w:rsid w:val="3FF373A9"/>
    <w:rsid w:val="43D111B8"/>
    <w:rsid w:val="43DE2FBE"/>
    <w:rsid w:val="468624C1"/>
    <w:rsid w:val="46F43818"/>
    <w:rsid w:val="49964275"/>
    <w:rsid w:val="4A6D1B45"/>
    <w:rsid w:val="4D7F3523"/>
    <w:rsid w:val="4E816CDB"/>
    <w:rsid w:val="4EBB01A8"/>
    <w:rsid w:val="4EF03963"/>
    <w:rsid w:val="50106B05"/>
    <w:rsid w:val="517A5322"/>
    <w:rsid w:val="54CC53B4"/>
    <w:rsid w:val="56520A9E"/>
    <w:rsid w:val="5B3C07C0"/>
    <w:rsid w:val="5CAC3563"/>
    <w:rsid w:val="60FC5F5C"/>
    <w:rsid w:val="6113250D"/>
    <w:rsid w:val="62FD269D"/>
    <w:rsid w:val="6A130CD7"/>
    <w:rsid w:val="6B23698F"/>
    <w:rsid w:val="6C0079EB"/>
    <w:rsid w:val="6C4A7C9B"/>
    <w:rsid w:val="6D1C3DCD"/>
    <w:rsid w:val="6FB52516"/>
    <w:rsid w:val="6FFC0362"/>
    <w:rsid w:val="716B7E96"/>
    <w:rsid w:val="71C65255"/>
    <w:rsid w:val="71D85A8F"/>
    <w:rsid w:val="75AF3AE2"/>
    <w:rsid w:val="78526640"/>
    <w:rsid w:val="79A71777"/>
    <w:rsid w:val="7BB77181"/>
    <w:rsid w:val="7CEE7546"/>
    <w:rsid w:val="7D2730CB"/>
    <w:rsid w:val="7DA91562"/>
    <w:rsid w:val="7F431323"/>
    <w:rsid w:val="7F6E77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0" w:semiHidden="0" w:name="heading 3"/>
    <w:lsdException w:qFormat="1" w:uiPriority="9"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仿宋" w:cs="Times New Roman"/>
      <w:kern w:val="2"/>
      <w:sz w:val="24"/>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autoRedefine/>
    <w:unhideWhenUsed/>
    <w:qFormat/>
    <w:uiPriority w:val="0"/>
    <w:pPr>
      <w:keepNext/>
      <w:keepLines/>
      <w:spacing w:before="260" w:after="260" w:line="416" w:lineRule="auto"/>
      <w:outlineLvl w:val="2"/>
    </w:pPr>
    <w:rPr>
      <w:b/>
      <w:bCs/>
      <w:sz w:val="32"/>
      <w:szCs w:val="32"/>
    </w:rPr>
  </w:style>
  <w:style w:type="paragraph" w:styleId="5">
    <w:name w:val="heading 4"/>
    <w:basedOn w:val="1"/>
    <w:next w:val="1"/>
    <w:autoRedefine/>
    <w:unhideWhenUsed/>
    <w:qFormat/>
    <w:uiPriority w:val="9"/>
    <w:pPr>
      <w:keepNext/>
      <w:keepLines/>
      <w:spacing w:before="280" w:after="290"/>
      <w:outlineLvl w:val="3"/>
    </w:pPr>
    <w:rPr>
      <w:rFonts w:asciiTheme="majorHAnsi" w:hAnsiTheme="majorHAnsi" w:eastAsiaTheme="majorEastAsia" w:cstheme="majorBidi"/>
      <w:b/>
      <w:bCs/>
      <w:sz w:val="28"/>
      <w:szCs w:val="28"/>
    </w:rPr>
  </w:style>
  <w:style w:type="paragraph" w:styleId="6">
    <w:name w:val="heading 5"/>
    <w:basedOn w:val="1"/>
    <w:next w:val="1"/>
    <w:autoRedefine/>
    <w:unhideWhenUsed/>
    <w:qFormat/>
    <w:uiPriority w:val="0"/>
    <w:pPr>
      <w:keepNext/>
      <w:keepLines/>
      <w:spacing w:before="280" w:after="290" w:line="372" w:lineRule="auto"/>
      <w:outlineLvl w:val="4"/>
    </w:pPr>
    <w:rPr>
      <w:b/>
      <w:sz w:val="28"/>
    </w:rPr>
  </w:style>
  <w:style w:type="paragraph" w:styleId="7">
    <w:name w:val="heading 6"/>
    <w:basedOn w:val="1"/>
    <w:next w:val="1"/>
    <w:autoRedefine/>
    <w:unhideWhenUsed/>
    <w:qFormat/>
    <w:uiPriority w:val="0"/>
    <w:pPr>
      <w:keepNext/>
      <w:keepLines/>
      <w:spacing w:before="240" w:after="64" w:line="317" w:lineRule="auto"/>
      <w:outlineLvl w:val="5"/>
    </w:pPr>
    <w:rPr>
      <w:rFonts w:ascii="Arial" w:hAnsi="Arial" w:eastAsia="黑体"/>
      <w:b/>
      <w:sz w:val="24"/>
    </w:rPr>
  </w:style>
  <w:style w:type="character" w:default="1" w:styleId="20">
    <w:name w:val="Default Paragraph Font"/>
    <w:autoRedefine/>
    <w:semiHidden/>
    <w:qFormat/>
    <w:uiPriority w:val="0"/>
  </w:style>
  <w:style w:type="table" w:default="1" w:styleId="18">
    <w:name w:val="Normal Table"/>
    <w:autoRedefine/>
    <w:semiHidden/>
    <w:qFormat/>
    <w:uiPriority w:val="0"/>
    <w:tblPr>
      <w:tblCellMar>
        <w:top w:w="0" w:type="dxa"/>
        <w:left w:w="108" w:type="dxa"/>
        <w:bottom w:w="0" w:type="dxa"/>
        <w:right w:w="108" w:type="dxa"/>
      </w:tblCellMar>
    </w:tblPr>
  </w:style>
  <w:style w:type="paragraph" w:styleId="8">
    <w:name w:val="Normal Indent"/>
    <w:basedOn w:val="1"/>
    <w:next w:val="9"/>
    <w:autoRedefine/>
    <w:qFormat/>
    <w:uiPriority w:val="0"/>
    <w:pPr>
      <w:ind w:firstLine="420" w:firstLineChars="200"/>
    </w:pPr>
  </w:style>
  <w:style w:type="paragraph" w:styleId="9">
    <w:name w:val="Plain Text"/>
    <w:basedOn w:val="1"/>
    <w:autoRedefine/>
    <w:qFormat/>
    <w:uiPriority w:val="0"/>
    <w:rPr>
      <w:rFonts w:ascii="宋体" w:hAnsi="Courier New" w:cs="Courier New"/>
      <w:szCs w:val="21"/>
    </w:rPr>
  </w:style>
  <w:style w:type="paragraph" w:styleId="10">
    <w:name w:val="annotation text"/>
    <w:basedOn w:val="1"/>
    <w:autoRedefine/>
    <w:qFormat/>
    <w:uiPriority w:val="0"/>
    <w:pPr>
      <w:jc w:val="left"/>
    </w:pPr>
  </w:style>
  <w:style w:type="paragraph" w:styleId="11">
    <w:name w:val="Body Text"/>
    <w:basedOn w:val="1"/>
    <w:next w:val="12"/>
    <w:autoRedefine/>
    <w:qFormat/>
    <w:uiPriority w:val="99"/>
    <w:pPr>
      <w:spacing w:after="120"/>
    </w:pPr>
  </w:style>
  <w:style w:type="paragraph" w:customStyle="1" w:styleId="12">
    <w:name w:val="_Style 2"/>
    <w:basedOn w:val="1"/>
    <w:next w:val="1"/>
    <w:autoRedefine/>
    <w:qFormat/>
    <w:uiPriority w:val="0"/>
    <w:pPr>
      <w:ind w:firstLine="420" w:firstLineChars="200"/>
    </w:pPr>
  </w:style>
  <w:style w:type="paragraph" w:styleId="13">
    <w:name w:val="footer"/>
    <w:basedOn w:val="1"/>
    <w:autoRedefine/>
    <w:qFormat/>
    <w:uiPriority w:val="0"/>
    <w:pPr>
      <w:tabs>
        <w:tab w:val="center" w:pos="4153"/>
        <w:tab w:val="right" w:pos="8306"/>
      </w:tabs>
      <w:snapToGrid w:val="0"/>
      <w:jc w:val="left"/>
    </w:pPr>
    <w:rPr>
      <w:sz w:val="18"/>
    </w:rPr>
  </w:style>
  <w:style w:type="paragraph" w:styleId="1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autoRedefine/>
    <w:qFormat/>
    <w:uiPriority w:val="0"/>
  </w:style>
  <w:style w:type="paragraph" w:styleId="16">
    <w:name w:val="toc 2"/>
    <w:basedOn w:val="1"/>
    <w:next w:val="1"/>
    <w:autoRedefine/>
    <w:qFormat/>
    <w:uiPriority w:val="0"/>
    <w:pPr>
      <w:ind w:left="420" w:leftChars="200"/>
    </w:pPr>
  </w:style>
  <w:style w:type="paragraph" w:styleId="17">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autoRedefine/>
    <w:qFormat/>
    <w:uiPriority w:val="0"/>
    <w:rPr>
      <w:b/>
    </w:rPr>
  </w:style>
  <w:style w:type="character" w:styleId="22">
    <w:name w:val="Hyperlink"/>
    <w:basedOn w:val="20"/>
    <w:autoRedefine/>
    <w:qFormat/>
    <w:uiPriority w:val="99"/>
    <w:rPr>
      <w:color w:val="0000FF"/>
      <w:u w:val="single"/>
    </w:rPr>
  </w:style>
  <w:style w:type="paragraph" w:customStyle="1" w:styleId="23">
    <w:name w:val="Default"/>
    <w:autoRedefine/>
    <w:qFormat/>
    <w:uiPriority w:val="0"/>
    <w:pPr>
      <w:widowControl w:val="0"/>
      <w:autoSpaceDE w:val="0"/>
      <w:autoSpaceDN w:val="0"/>
      <w:adjustRightInd w:val="0"/>
    </w:pPr>
    <w:rPr>
      <w:rFonts w:ascii="宋体" w:hAnsi="Times New Roman" w:eastAsia="宋体" w:cs="Times New Roman"/>
      <w:color w:val="000000"/>
      <w:kern w:val="2"/>
      <w:sz w:val="24"/>
      <w:szCs w:val="22"/>
      <w:lang w:val="en-US" w:eastAsia="zh-CN" w:bidi="ar-SA"/>
    </w:rPr>
  </w:style>
  <w:style w:type="paragraph" w:customStyle="1" w:styleId="24">
    <w:name w:val="段"/>
    <w:autoRedefine/>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kern w:val="0"/>
      <w:sz w:val="21"/>
      <w:szCs w:val="20"/>
      <w:lang w:val="en-US" w:eastAsia="zh-CN" w:bidi="ar-SA"/>
    </w:rPr>
  </w:style>
  <w:style w:type="paragraph" w:customStyle="1" w:styleId="25">
    <w:name w:val="列出段落1"/>
    <w:basedOn w:val="1"/>
    <w:autoRedefine/>
    <w:qFormat/>
    <w:uiPriority w:val="0"/>
    <w:pPr>
      <w:ind w:firstLine="420"/>
    </w:pPr>
    <w:rPr>
      <w:rFonts w:cs="Times New Roman"/>
      <w:szCs w:val="24"/>
    </w:rPr>
  </w:style>
  <w:style w:type="paragraph" w:styleId="26">
    <w:name w:val="List Paragraph"/>
    <w:basedOn w:val="1"/>
    <w:autoRedefine/>
    <w:qFormat/>
    <w:uiPriority w:val="34"/>
    <w:pPr>
      <w:ind w:firstLine="420" w:firstLineChars="200"/>
    </w:pPr>
  </w:style>
  <w:style w:type="character" w:customStyle="1" w:styleId="27">
    <w:name w:val="font11"/>
    <w:basedOn w:val="20"/>
    <w:autoRedefine/>
    <w:qFormat/>
    <w:uiPriority w:val="0"/>
    <w:rPr>
      <w:rFonts w:hint="eastAsia" w:ascii="仿宋" w:hAnsi="仿宋" w:eastAsia="仿宋" w:cs="仿宋"/>
      <w:color w:val="000000"/>
      <w:sz w:val="22"/>
      <w:szCs w:val="22"/>
      <w:u w:val="none"/>
    </w:rPr>
  </w:style>
  <w:style w:type="character" w:customStyle="1" w:styleId="28">
    <w:name w:val="font31"/>
    <w:basedOn w:val="20"/>
    <w:autoRedefine/>
    <w:qFormat/>
    <w:uiPriority w:val="0"/>
    <w:rPr>
      <w:rFonts w:hint="eastAsia" w:ascii="仿宋" w:hAnsi="仿宋" w:eastAsia="仿宋" w:cs="仿宋"/>
      <w:color w:val="000000"/>
      <w:sz w:val="24"/>
      <w:szCs w:val="24"/>
      <w:u w:val="none"/>
    </w:rPr>
  </w:style>
  <w:style w:type="character" w:customStyle="1" w:styleId="29">
    <w:name w:val="font21"/>
    <w:basedOn w:val="20"/>
    <w:autoRedefine/>
    <w:qFormat/>
    <w:uiPriority w:val="0"/>
    <w:rPr>
      <w:rFonts w:hint="eastAsia" w:ascii="仿宋" w:hAnsi="仿宋" w:eastAsia="仿宋" w:cs="仿宋"/>
      <w:color w:val="000000"/>
      <w:sz w:val="24"/>
      <w:szCs w:val="24"/>
      <w:u w:val="none"/>
    </w:rPr>
  </w:style>
  <w:style w:type="paragraph" w:customStyle="1" w:styleId="30">
    <w:name w:val="WPSOffice手动目录 1"/>
    <w:autoRedefine/>
    <w:qFormat/>
    <w:uiPriority w:val="0"/>
    <w:pPr>
      <w:ind w:leftChars="0"/>
    </w:pPr>
    <w:rPr>
      <w:rFonts w:ascii="Times New Roman" w:hAnsi="Times New Roman" w:eastAsia="宋体" w:cs="Times New Roman"/>
      <w:sz w:val="20"/>
      <w:szCs w:val="20"/>
    </w:rPr>
  </w:style>
  <w:style w:type="paragraph" w:customStyle="1" w:styleId="31">
    <w:name w:val="WPSOffice手动目录 2"/>
    <w:autoRedefine/>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45</Pages>
  <Words>20613</Words>
  <Characters>21680</Characters>
  <Lines>0</Lines>
  <Paragraphs>0</Paragraphs>
  <TotalTime>0</TotalTime>
  <ScaleCrop>false</ScaleCrop>
  <LinksUpToDate>false</LinksUpToDate>
  <CharactersWithSpaces>21789</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2023-03-16T06:35:00Z</dcterms:created>
  <dc:creator>Administrator</dc:creator>
  <cp:lastModifiedBy>动感光波</cp:lastModifiedBy>
  <dcterms:modified xsi:type="dcterms:W3CDTF">2024-08-19T09:17:45Z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19672D01DD0D4B16AA678213935D219D_13</vt:lpwstr>
  </property>
</Properties>
</file>